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版本号：HYZB2025004920250930001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秦保区域生态修复项目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HYZB20250049</w:t>
      </w:r>
      <w:r>
        <w:br/>
      </w:r>
      <w:r>
        <w:br/>
      </w:r>
      <w:r>
        <w:br/>
      </w:r>
    </w:p>
    <w:p>
      <w:pPr>
        <w:pStyle w:val="null3"/>
        <w:jc w:val="center"/>
        <w:outlineLvl w:val="2"/>
      </w:pPr>
      <w:r>
        <w:rPr>
          <w:rFonts w:ascii="仿宋_GB2312" w:hAnsi="仿宋_GB2312" w:cs="仿宋_GB2312" w:eastAsia="仿宋_GB2312"/>
          <w:sz w:val="28"/>
          <w:b/>
        </w:rPr>
        <w:t>西安市临潼区穆寨街道办事处</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西安市临潼区穆寨街道办事处</w:t>
      </w:r>
      <w:r>
        <w:rPr>
          <w:rFonts w:ascii="仿宋_GB2312" w:hAnsi="仿宋_GB2312" w:cs="仿宋_GB2312" w:eastAsia="仿宋_GB2312"/>
        </w:rPr>
        <w:t>委托，拟对</w:t>
      </w:r>
      <w:r>
        <w:rPr>
          <w:rFonts w:ascii="仿宋_GB2312" w:hAnsi="仿宋_GB2312" w:cs="仿宋_GB2312" w:eastAsia="仿宋_GB2312"/>
        </w:rPr>
        <w:t>秦保区域生态修复项目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秦保区域生态修复项目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山区受水土流失、地质滑坡等自然因素影响，王湾村郭渠组林地损毁，严重影响保护区生态环境需损毁林地重新造林。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采购包1（秦保区域生态修复项目）：属于专门面向中小企业采购。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3、法定代表人授权书或身份证明：提供法定代表人授权书（附法定代表人、被授权人身份证复印件）（法定代表人直接参加投标，须提供法定代表人身份证明）。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西安市临潼区穆寨街道办事处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临潼区穆寨街道1号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临潼区穆寨街道办事处经办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15829338502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西安市临潼区穆寨街道办事处</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西安市临潼区穆寨街道办事处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西安市临潼区穆寨街道办事处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地址：陕西省西安市临潼区文化西路37号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秦保区域生态修复项目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标的名称：秦保区域生态修复项目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19"/>
              <w:gridCol w:w="245"/>
              <w:gridCol w:w="245"/>
              <w:gridCol w:w="245"/>
              <w:gridCol w:w="245"/>
              <w:gridCol w:w="379"/>
              <w:gridCol w:w="491"/>
              <w:gridCol w:w="479"/>
            </w:tblGrid>
            <w:tr>
              <w:tc>
                <w:tcPr>
                  <w:tcW w:type="dxa" w:w="2548"/>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 xml:space="preserve"> 秦保区域生态修复项目</w:t>
                  </w:r>
                </w:p>
              </w:tc>
            </w:tr>
            <w:tr>
              <w:tc>
                <w:tcPr>
                  <w:tcW w:type="dxa" w:w="2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9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49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3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49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单价（元）</w:t>
                  </w:r>
                </w:p>
              </w:tc>
              <w:tc>
                <w:tcPr>
                  <w:tcW w:type="dxa" w:w="4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总价（元）</w:t>
                  </w:r>
                </w:p>
              </w:tc>
            </w:tr>
            <w:tr>
              <w:tc>
                <w:tcPr>
                  <w:tcW w:type="dxa" w:w="2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9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栽植侧柏                                        [项目特征]</w:t>
                  </w:r>
                  <w:r>
                    <w:br/>
                  </w:r>
                  <w:r>
                    <w:rPr>
                      <w:rFonts w:ascii="仿宋_GB2312" w:hAnsi="仿宋_GB2312" w:cs="仿宋_GB2312" w:eastAsia="仿宋_GB2312"/>
                      <w:sz w:val="24"/>
                      <w:color w:val="000000"/>
                    </w:rPr>
                    <w:t xml:space="preserve"> 1.种类:侧柏</w:t>
                  </w:r>
                  <w:r>
                    <w:br/>
                  </w:r>
                  <w:r>
                    <w:rPr>
                      <w:rFonts w:ascii="仿宋_GB2312" w:hAnsi="仿宋_GB2312" w:cs="仿宋_GB2312" w:eastAsia="仿宋_GB2312"/>
                      <w:sz w:val="24"/>
                      <w:color w:val="000000"/>
                    </w:rPr>
                    <w:t xml:space="preserve"> 2.高度：1米</w:t>
                  </w:r>
                </w:p>
              </w:tc>
              <w:tc>
                <w:tcPr>
                  <w:tcW w:type="dxa" w:w="49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棵</w:t>
                  </w:r>
                </w:p>
              </w:tc>
              <w:tc>
                <w:tcPr>
                  <w:tcW w:type="dxa" w:w="3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14700</w:t>
                  </w:r>
                </w:p>
              </w:tc>
              <w:tc>
                <w:tcPr>
                  <w:tcW w:type="dxa" w:w="49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9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栽植油松                                        [项目特征]</w:t>
                  </w:r>
                  <w:r>
                    <w:br/>
                  </w:r>
                  <w:r>
                    <w:rPr>
                      <w:rFonts w:ascii="仿宋_GB2312" w:hAnsi="仿宋_GB2312" w:cs="仿宋_GB2312" w:eastAsia="仿宋_GB2312"/>
                      <w:sz w:val="24"/>
                      <w:color w:val="000000"/>
                    </w:rPr>
                    <w:t xml:space="preserve"> 1.种类:油松</w:t>
                  </w:r>
                  <w:r>
                    <w:br/>
                  </w:r>
                  <w:r>
                    <w:rPr>
                      <w:rFonts w:ascii="仿宋_GB2312" w:hAnsi="仿宋_GB2312" w:cs="仿宋_GB2312" w:eastAsia="仿宋_GB2312"/>
                      <w:sz w:val="24"/>
                      <w:color w:val="000000"/>
                    </w:rPr>
                    <w:t xml:space="preserve"> 2.高度：1米</w:t>
                  </w:r>
                </w:p>
              </w:tc>
              <w:tc>
                <w:tcPr>
                  <w:tcW w:type="dxa" w:w="49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棵</w:t>
                  </w:r>
                </w:p>
              </w:tc>
              <w:tc>
                <w:tcPr>
                  <w:tcW w:type="dxa" w:w="3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7300</w:t>
                  </w:r>
                </w:p>
              </w:tc>
              <w:tc>
                <w:tcPr>
                  <w:tcW w:type="dxa" w:w="49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1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9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合计</w:t>
                  </w:r>
                </w:p>
              </w:tc>
              <w:tc>
                <w:tcPr>
                  <w:tcW w:type="dxa" w:w="49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9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供应商工程质量须满足国家及行业现行相关技术规范标准。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根据《西安市临潼区财政局关于开展政府采购供应商基本资格条件承诺制试点工作的通知》临财函〔2024〕236号，供应商也可提供《基本资格条件承诺函》以替代财务报告，供应商应保证承诺的真实性，采购人可以在中标(成交)结果公告后、签订政府采购合同前，核实中标(成交)供应商所作信用承诺事项的真实性。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磋商响应文件上法定代表人或其授权代表人的签字齐全，要求加盖单位公章处加盖公章。</w:t>
            </w:r>
          </w:p>
        </w:tc>
        <w:tc>
          <w:tcPr>
            <w:tcW w:type="dxa" w:w="1661"/>
          </w:tcPr>
          <w:p>
            <w:pPr>
              <w:pStyle w:val="null3"/>
            </w:pPr>
            <w:r>
              <w:rPr>
                <w:rFonts w:ascii="仿宋_GB2312" w:hAnsi="仿宋_GB2312" w:cs="仿宋_GB2312" w:eastAsia="仿宋_GB2312"/>
              </w:rPr>
              <w:t>确保安全生产的技术组织措施.docx 业绩.docx 已标价工程量清单 确保质量的技术组织措施.docx 项目经理部组成及劳动力配备计划.docx 中小企业声明函 养护及成活率保障措施.docx 服务承诺.docx 材料、设备投入计划.docx 确保工期的技术组织措施.docx 响应文件封面 分项报价表.docx 施工组织方案.docx 应急预案.docx 供应商应提交的相关资格证明材料.docx 残疾人福利性单位声明函 报价函 技术商务要求响应表.docx 标的清单 响应函 确保文明施工的技术组织措施及环境保护措施.docx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确保安全生产的技术组织措施.docx 业绩.docx 已标价工程量清单 确保质量的技术组织措施.docx 项目经理部组成及劳动力配备计划.docx 中小企业声明函 养护及成活率保障措施.docx 服务承诺.docx 材料、设备投入计划.docx 确保工期的技术组织措施.docx 响应文件封面 分项报价表.docx 施工组织方案.docx 应急预案.docx 供应商应提交的相关资格证明材料.docx 残疾人福利性单位声明函 报价函 技术商务要求响应表.docx 标的清单 响应函 确保文明施工的技术组织措施及环境保护措施.docx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只能有一个有效报价，不得提交选择性报价，按要求提交二次或多次报价，且第一轮报价不超过最高限价，第二轮报价不超过第一轮报价金额。磋商小组认为低于成本报价的磋商报价将被拒绝。</w:t>
            </w:r>
          </w:p>
        </w:tc>
        <w:tc>
          <w:tcPr>
            <w:tcW w:type="dxa" w:w="1661"/>
          </w:tcPr>
          <w:p>
            <w:pPr>
              <w:pStyle w:val="null3"/>
            </w:pPr>
            <w:r>
              <w:rPr>
                <w:rFonts w:ascii="仿宋_GB2312" w:hAnsi="仿宋_GB2312" w:cs="仿宋_GB2312" w:eastAsia="仿宋_GB2312"/>
              </w:rPr>
              <w:t>确保安全生产的技术组织措施.docx 业绩.docx 已标价工程量清单 确保质量的技术组织措施.docx 项目经理部组成及劳动力配备计划.docx 中小企业声明函 养护及成活率保障措施.docx 服务承诺.docx 材料、设备投入计划.docx 确保工期的技术组织措施.docx 响应文件封面 分项报价表.docx 施工组织方案.docx 应急预案.docx 供应商应提交的相关资格证明材料.docx 残疾人福利性单位声明函 报价函 技术商务要求响应表.docx 标的清单 响应函 确保文明施工的技术组织措施及环境保护措施.docx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确保安全生产的技术组织措施.docx 业绩.docx 已标价工程量清单 确保质量的技术组织措施.docx 项目经理部组成及劳动力配备计划.docx 中小企业声明函 养护及成活率保障措施.docx 服务承诺.docx 材料、设备投入计划.docx 确保工期的技术组织措施.docx 响应文件封面 分项报价表.docx 施工组织方案.docx 应急预案.docx 供应商应提交的相关资格证明材料.docx 残疾人福利性单位声明函 报价函 技术商务要求响应表.docx 标的清单 响应函 确保文明施工的技术组织措施及环境保护措施.docx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确保安全生产的技术组织措施.docx 业绩.docx 已标价工程量清单 确保质量的技术组织措施.docx 项目经理部组成及劳动力配备计划.docx 中小企业声明函 养护及成活率保障措施.docx 服务承诺.docx 材料、设备投入计划.docx 确保工期的技术组织措施.docx 响应文件封面 分项报价表.docx 施工组织方案.docx 应急预案.docx 供应商应提交的相关资格证明材料.docx 残疾人福利性单位声明函 报价函 技术商务要求响应表.docx 标的清单 响应函 确保文明施工的技术组织措施及环境保护措施.docx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确保安全生产的技术组织措施.docx 业绩.docx 已标价工程量清单 确保质量的技术组织措施.docx 项目经理部组成及劳动力配备计划.docx 中小企业声明函 养护及成活率保障措施.docx 服务承诺.docx 材料、设备投入计划.docx 确保工期的技术组织措施.docx 响应文件封面 分项报价表.docx 施工组织方案.docx 应急预案.docx 供应商应提交的相关资格证明材料.docx 残疾人福利性单位声明函 报价函 技术商务要求响应表.docx 标的清单 响应函 确保文明施工的技术组织措施及环境保护措施.docx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计划工期</w:t>
            </w:r>
          </w:p>
        </w:tc>
        <w:tc>
          <w:tcPr>
            <w:tcW w:type="dxa" w:w="3322"/>
          </w:tcPr>
          <w:p>
            <w:pPr>
              <w:pStyle w:val="null3"/>
            </w:pPr>
            <w:r>
              <w:rPr>
                <w:rFonts w:ascii="仿宋_GB2312" w:hAnsi="仿宋_GB2312" w:cs="仿宋_GB2312" w:eastAsia="仿宋_GB2312"/>
              </w:rPr>
              <w:t>应满足磋商文件中要求的计划工期。</w:t>
            </w:r>
          </w:p>
        </w:tc>
        <w:tc>
          <w:tcPr>
            <w:tcW w:type="dxa" w:w="1661"/>
          </w:tcPr>
          <w:p>
            <w:pPr>
              <w:pStyle w:val="null3"/>
            </w:pPr>
            <w:r>
              <w:rPr>
                <w:rFonts w:ascii="仿宋_GB2312" w:hAnsi="仿宋_GB2312" w:cs="仿宋_GB2312" w:eastAsia="仿宋_GB2312"/>
              </w:rPr>
              <w:t>确保安全生产的技术组织措施.docx 业绩.docx 已标价工程量清单 确保质量的技术组织措施.docx 项目经理部组成及劳动力配备计划.docx 中小企业声明函 养护及成活率保障措施.docx 服务承诺.docx 材料、设备投入计划.docx 确保工期的技术组织措施.docx 响应文件封面 分项报价表.docx 施工组织方案.docx 应急预案.docx 供应商应提交的相关资格证明材料.docx 残疾人福利性单位声明函 报价函 技术商务要求响应表.docx 标的清单 响应函 确保文明施工的技术组织措施及环境保护措施.docx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确保安全生产的技术组织措施.docx 业绩.docx 已标价工程量清单 确保质量的技术组织措施.docx 项目经理部组成及劳动力配备计划.docx 中小企业声明函 养护及成活率保障措施.docx 服务承诺.docx 材料、设备投入计划.docx 确保工期的技术组织措施.docx 响应文件封面 分项报价表.docx 施工组织方案.docx 应急预案.docx 供应商应提交的相关资格证明材料.docx 残疾人福利性单位声明函 报价函 技术商务要求响应表.docx 标的清单 响应函 确保文明施工的技术组织措施及环境保护措施.docx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1、内容完整，针对性强，施工方法得当，技术组织措施全面得(4-6]分； 2、内容较完整，针对性一般，施工方法基本得当，技术组织措施基本全面得(2-4]分； 3、内容不完整，针对性差，施工方法不得当，技术组织措施不全面得(0-2]分； 4、未提供施工组织方案不得分。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技术商务要求响应表.docx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1、技术组织措施详细，进度管理目标明确，工期进度保证措施经济性、合理性、可行性及针对性强得(4-6]分； 2、技术组织措施基本详细，进度管理目标基本明确，工期进度保证措施经济性、合理性、可行性及针对性一般得(2-4]分； 3、技术组织措施不详细，进度管理目标不明确，工期进度保证措施经济性、合理性、可行性及针对性差得(0-2]分； 4、未提供确保工期的技术组织措施不得分。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确保工期的技术组织措施.docx</w:t>
            </w:r>
          </w:p>
          <w:p>
            <w:pPr>
              <w:pStyle w:val="null3"/>
            </w:pPr>
            <w:r>
              <w:rPr>
                <w:rFonts w:ascii="仿宋_GB2312" w:hAnsi="仿宋_GB2312" w:cs="仿宋_GB2312" w:eastAsia="仿宋_GB2312"/>
              </w:rPr>
              <w:t>技术商务要求响应表.docx</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1、技术组织措施详细，质量管理目标明确，质量保证承诺全面，质量保证措施经济性、合理性、可行性及针对性强得(4-6]分； 2、技术组织措施基本详细，质量管理目标基本明确，质量保证承诺基本全面，质量保证措施经济性、合理性、可行性及针对性一般得(2-4]分； 3、技术组织措施不详细，质量管理目标不明确，质量保证承诺不全面，质量保证措施经济性、合理性、可行性及针对性差得(0-2]分； 4、未提供确保质量的技术组织措施不得分。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确保质量的技术组织措施.docx</w:t>
            </w:r>
          </w:p>
          <w:p>
            <w:pPr>
              <w:pStyle w:val="null3"/>
            </w:pPr>
            <w:r>
              <w:rPr>
                <w:rFonts w:ascii="仿宋_GB2312" w:hAnsi="仿宋_GB2312" w:cs="仿宋_GB2312" w:eastAsia="仿宋_GB2312"/>
              </w:rPr>
              <w:t>技术商务要求响应表.docx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1、技术措施详细，安全管理目标明确，安全保证措施的经济性、合理性、可行性及针对性强得(4-6]分； 2、技术措施基本详细，安全管理目标基本明确，安全保证措施的经济性、合理性、可行性及针对性一般得(2-4]分； 3、技术措施不详细，安全管理目标不明确，安全保证措施的经济性、合理性、可行性及针对性差得(0-2]分； 4、未提供确保安全生产的技术组织措施不得分。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确保安全生产的技术组织措施.docx</w:t>
            </w:r>
          </w:p>
          <w:p>
            <w:pPr>
              <w:pStyle w:val="null3"/>
            </w:pPr>
            <w:r>
              <w:rPr>
                <w:rFonts w:ascii="仿宋_GB2312" w:hAnsi="仿宋_GB2312" w:cs="仿宋_GB2312" w:eastAsia="仿宋_GB2312"/>
              </w:rPr>
              <w:t>技术商务要求响应表.docx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1、措施详细，目标明确，经济型、合理性、可行性及针对性强得(4-6]分； 2、措施基本详细，目标基本明确，经济型、合理性、可行性及针对性一般得(2-4]分； 3、措施不详细，目标不明确，经济型、合理性、可行性及针对性差得(0-2]分； 4、未提供确保文明施工的技术组织措施及环境保护措施不得分。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确保文明施工的技术组织措施及环境保护措施.docx</w:t>
            </w:r>
          </w:p>
          <w:p>
            <w:pPr>
              <w:pStyle w:val="null3"/>
            </w:pPr>
            <w:r>
              <w:rPr>
                <w:rFonts w:ascii="仿宋_GB2312" w:hAnsi="仿宋_GB2312" w:cs="仿宋_GB2312" w:eastAsia="仿宋_GB2312"/>
              </w:rPr>
              <w:t>技术商务要求响应表.docx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项目经理部组成及劳动力配备计划</w:t>
            </w:r>
          </w:p>
        </w:tc>
        <w:tc>
          <w:tcPr>
            <w:tcW w:type="dxa" w:w="2492"/>
          </w:tcPr>
          <w:p>
            <w:pPr>
              <w:pStyle w:val="null3"/>
            </w:pPr>
            <w:r>
              <w:rPr>
                <w:rFonts w:ascii="仿宋_GB2312" w:hAnsi="仿宋_GB2312" w:cs="仿宋_GB2312" w:eastAsia="仿宋_GB2312"/>
              </w:rPr>
              <w:t>1、项目经理部人员及劳动力配备计划合理，分工明确，职责清晰得(4-6]分； 2、项目经理部人员及劳动力配备计划较合理，分工基本明确，职责较清晰得(2-4]分； 3、项目经理部人员及劳动力配备计划不合理，分工不明确，职责不清晰得(0-2]分； 4、未提供项目经理部组成及劳动力配备计划不得分。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项目经理部组成及劳动力配备计划.docx</w:t>
            </w:r>
          </w:p>
          <w:p>
            <w:pPr>
              <w:pStyle w:val="null3"/>
            </w:pPr>
            <w:r>
              <w:rPr>
                <w:rFonts w:ascii="仿宋_GB2312" w:hAnsi="仿宋_GB2312" w:cs="仿宋_GB2312" w:eastAsia="仿宋_GB2312"/>
              </w:rPr>
              <w:t>技术商务要求响应表.docx</w:t>
            </w:r>
          </w:p>
        </w:tc>
      </w:tr>
      <w:tr>
        <w:tc>
          <w:tcPr>
            <w:tcW w:type="dxa" w:w="831"/>
            <w:vMerge/>
          </w:tcPr>
          <w:p/>
        </w:tc>
        <w:tc>
          <w:tcPr>
            <w:tcW w:type="dxa" w:w="1661"/>
          </w:tcPr>
          <w:p>
            <w:pPr>
              <w:pStyle w:val="null3"/>
            </w:pPr>
            <w:r>
              <w:rPr>
                <w:rFonts w:ascii="仿宋_GB2312" w:hAnsi="仿宋_GB2312" w:cs="仿宋_GB2312" w:eastAsia="仿宋_GB2312"/>
              </w:rPr>
              <w:t>材料、设备投入计划</w:t>
            </w:r>
          </w:p>
        </w:tc>
        <w:tc>
          <w:tcPr>
            <w:tcW w:type="dxa" w:w="2492"/>
          </w:tcPr>
          <w:p>
            <w:pPr>
              <w:pStyle w:val="null3"/>
            </w:pPr>
            <w:r>
              <w:rPr>
                <w:rFonts w:ascii="仿宋_GB2312" w:hAnsi="仿宋_GB2312" w:cs="仿宋_GB2312" w:eastAsia="仿宋_GB2312"/>
              </w:rPr>
              <w:t>1、施工材料、设备配备齐全，针对性强，投入计划合理得(4-6]分； 2、施工材料、设备配备较齐全，针对性一般，投入计划较合理得(2-4]分； 3、施工材料、设备配备不齐全，针对性差，投入计划不合理得(0-2]分； 4、未提供材料、设备投入计划不得分。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材料、设备投入计划.docx</w:t>
            </w:r>
          </w:p>
          <w:p>
            <w:pPr>
              <w:pStyle w:val="null3"/>
            </w:pPr>
            <w:r>
              <w:rPr>
                <w:rFonts w:ascii="仿宋_GB2312" w:hAnsi="仿宋_GB2312" w:cs="仿宋_GB2312" w:eastAsia="仿宋_GB2312"/>
              </w:rPr>
              <w:t>技术商务要求响应表.docx</w:t>
            </w:r>
          </w:p>
        </w:tc>
      </w:tr>
      <w:tr>
        <w:tc>
          <w:tcPr>
            <w:tcW w:type="dxa" w:w="831"/>
            <w:vMerge/>
          </w:tcPr>
          <w:p/>
        </w:tc>
        <w:tc>
          <w:tcPr>
            <w:tcW w:type="dxa" w:w="1661"/>
          </w:tcPr>
          <w:p>
            <w:pPr>
              <w:pStyle w:val="null3"/>
            </w:pPr>
            <w:r>
              <w:rPr>
                <w:rFonts w:ascii="仿宋_GB2312" w:hAnsi="仿宋_GB2312" w:cs="仿宋_GB2312" w:eastAsia="仿宋_GB2312"/>
              </w:rPr>
              <w:t>养护及成活率保障措施</w:t>
            </w:r>
          </w:p>
        </w:tc>
        <w:tc>
          <w:tcPr>
            <w:tcW w:type="dxa" w:w="2492"/>
          </w:tcPr>
          <w:p>
            <w:pPr>
              <w:pStyle w:val="null3"/>
            </w:pPr>
            <w:r>
              <w:rPr>
                <w:rFonts w:ascii="仿宋_GB2312" w:hAnsi="仿宋_GB2312" w:cs="仿宋_GB2312" w:eastAsia="仿宋_GB2312"/>
              </w:rPr>
              <w:t>1、目标明确，技术保障措施详细全面，针对性及合理性强得(4-6]分； 2、目标较明确，技术保障措施基本全面，针对性及合理性一般得(2-4]分； 3、目标不明确，技术保障措施不全面，针对性及合理性差得(0-2]分； 4、未提供养护及成活率保障措施不得分。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养护及成活率保障措施.docx</w:t>
            </w:r>
          </w:p>
          <w:p>
            <w:pPr>
              <w:pStyle w:val="null3"/>
            </w:pPr>
            <w:r>
              <w:rPr>
                <w:rFonts w:ascii="仿宋_GB2312" w:hAnsi="仿宋_GB2312" w:cs="仿宋_GB2312" w:eastAsia="仿宋_GB2312"/>
              </w:rPr>
              <w:t>技术商务要求响应表.docx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项目实施过程中可能出现的应急事件及处置措施，例如：大风雨季施工，突发事故处置等。 1、应急事件考虑周全、预案制定合理，处置措施得当得(4-6]分； 2、应急事件考虑基本周全、预案制定较合理，处置措施较得当得(2-4]分； 3、应急事件考虑不周全、预案制定不合理，处置措施不得当得(0-2]分； 4、未提供应急预案不得分。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p>
            <w:pPr>
              <w:pStyle w:val="null3"/>
            </w:pPr>
            <w:r>
              <w:rPr>
                <w:rFonts w:ascii="仿宋_GB2312" w:hAnsi="仿宋_GB2312" w:cs="仿宋_GB2312" w:eastAsia="仿宋_GB2312"/>
              </w:rPr>
              <w:t>技术商务要求响应表.docx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针对项目特点提供切实可行的服务承诺，例如：养护技术支持、后续服务保障等。 1、承诺详细全面、指标明确，切实可行得(4-6]分； 2、承诺较详细、较全面、指标基本明确，可行性一般得(2-4]分； 3、承诺不详细、指标不明确，可行性差得(0-2]分； 4、未提供服务承诺不得分。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供应商提供自2022年1月1日至今具有类似项目业绩，磋商响应文件中附有其业绩证明材料，业绩以合同为依据（复印件加盖供应商公章），每提供一个计2分，满分10分。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技术商务要求响应表.docx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满足磋商文件要求且最终报价最低的供应商的价格为磋商基准价得30分，其他各供应商的最终报价得分按下列公式计算：（磋商基准价/最终磋商报价）×30％×100。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详见附件：施工组织方案.docx</w:t>
      </w:r>
    </w:p>
    <w:p>
      <w:pPr>
        <w:pStyle w:val="null3"/>
        <w:ind w:firstLine="960"/>
      </w:pPr>
      <w:r>
        <w:rPr>
          <w:rFonts w:ascii="仿宋_GB2312" w:hAnsi="仿宋_GB2312" w:cs="仿宋_GB2312" w:eastAsia="仿宋_GB2312"/>
        </w:rPr>
        <w:t>详见附件：确保工期的技术组织措施.docx</w:t>
      </w:r>
    </w:p>
    <w:p>
      <w:pPr>
        <w:pStyle w:val="null3"/>
        <w:ind w:firstLine="960"/>
      </w:pPr>
      <w:r>
        <w:rPr>
          <w:rFonts w:ascii="仿宋_GB2312" w:hAnsi="仿宋_GB2312" w:cs="仿宋_GB2312" w:eastAsia="仿宋_GB2312"/>
        </w:rPr>
        <w:t>详见附件：确保质量的技术组织措施.docx</w:t>
      </w:r>
    </w:p>
    <w:p>
      <w:pPr>
        <w:pStyle w:val="null3"/>
        <w:ind w:firstLine="960"/>
      </w:pPr>
      <w:r>
        <w:rPr>
          <w:rFonts w:ascii="仿宋_GB2312" w:hAnsi="仿宋_GB2312" w:cs="仿宋_GB2312" w:eastAsia="仿宋_GB2312"/>
        </w:rPr>
        <w:t>详见附件：确保安全生产的技术组织措施.docx</w:t>
      </w:r>
    </w:p>
    <w:p>
      <w:pPr>
        <w:pStyle w:val="null3"/>
        <w:ind w:firstLine="960"/>
      </w:pPr>
      <w:r>
        <w:rPr>
          <w:rFonts w:ascii="仿宋_GB2312" w:hAnsi="仿宋_GB2312" w:cs="仿宋_GB2312" w:eastAsia="仿宋_GB2312"/>
        </w:rPr>
        <w:t>详见附件：确保文明施工的技术组织措施及环境保护措施.docx</w:t>
      </w:r>
    </w:p>
    <w:p>
      <w:pPr>
        <w:pStyle w:val="null3"/>
        <w:ind w:firstLine="960"/>
      </w:pPr>
      <w:r>
        <w:rPr>
          <w:rFonts w:ascii="仿宋_GB2312" w:hAnsi="仿宋_GB2312" w:cs="仿宋_GB2312" w:eastAsia="仿宋_GB2312"/>
        </w:rPr>
        <w:t>详见附件：项目经理部组成及劳动力配备计划.docx</w:t>
      </w:r>
    </w:p>
    <w:p>
      <w:pPr>
        <w:pStyle w:val="null3"/>
        <w:ind w:firstLine="960"/>
      </w:pPr>
      <w:r>
        <w:rPr>
          <w:rFonts w:ascii="仿宋_GB2312" w:hAnsi="仿宋_GB2312" w:cs="仿宋_GB2312" w:eastAsia="仿宋_GB2312"/>
        </w:rPr>
        <w:t>详见附件：材料、设备投入计划.docx</w:t>
      </w:r>
    </w:p>
    <w:p>
      <w:pPr>
        <w:pStyle w:val="null3"/>
        <w:ind w:firstLine="960"/>
      </w:pPr>
      <w:r>
        <w:rPr>
          <w:rFonts w:ascii="仿宋_GB2312" w:hAnsi="仿宋_GB2312" w:cs="仿宋_GB2312" w:eastAsia="仿宋_GB2312"/>
        </w:rPr>
        <w:t>详见附件：养护及成活率保障措施.docx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详见附件：技术商务要求响应表.docx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