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版本号：ZBZB-2025-2642.1B120250930001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采购人体成分分析仪(二次)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ZBZB-2025-2642.1B1</w:t>
      </w:r>
      <w:r>
        <w:br/>
      </w:r>
      <w:r>
        <w:br/>
      </w:r>
      <w:r>
        <w:br/>
      </w:r>
    </w:p>
    <w:p>
      <w:pPr>
        <w:pStyle w:val="null3"/>
        <w:jc w:val="center"/>
        <w:outlineLvl w:val="2"/>
      </w:pPr>
      <w:r>
        <w:rPr>
          <w:rFonts w:ascii="仿宋_GB2312" w:hAnsi="仿宋_GB2312" w:cs="仿宋_GB2312" w:eastAsia="仿宋_GB2312"/>
          <w:sz w:val="28"/>
          <w:b/>
        </w:rPr>
        <w:t>西安市临潼区妇幼保健计划生育服务中心</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西安市临潼区妇幼保健计划生育服务中心</w:t>
      </w:r>
      <w:r>
        <w:rPr>
          <w:rFonts w:ascii="仿宋_GB2312" w:hAnsi="仿宋_GB2312" w:cs="仿宋_GB2312" w:eastAsia="仿宋_GB2312"/>
        </w:rPr>
        <w:t>委托，拟对</w:t>
      </w:r>
      <w:r>
        <w:rPr>
          <w:rFonts w:ascii="仿宋_GB2312" w:hAnsi="仿宋_GB2312" w:cs="仿宋_GB2312" w:eastAsia="仿宋_GB2312"/>
        </w:rPr>
        <w:t>采购人体成分分析仪(二次)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ZBZB-2025-2642.1B1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采购人体成分分析仪(二次)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采购人体成分分析仪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采购包1（采购人体成分分析仪）：属于专门面向中小企业采购。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1、营业执照：企业法人具有有效的营业执照（具备统一社会信用代码）；事业法人应具有有效的事业单位法人证；其他组织应具有合法证明文件；自然人应提供有效的自然人身份证明。并进行电子签章。</w:t>
      </w:r>
    </w:p>
    <w:p>
      <w:pPr>
        <w:pStyle w:val="null3"/>
      </w:pPr>
      <w:r>
        <w:rPr>
          <w:rFonts w:ascii="仿宋_GB2312" w:hAnsi="仿宋_GB2312" w:cs="仿宋_GB2312" w:eastAsia="仿宋_GB2312"/>
        </w:rPr>
        <w:t>2、资质要求：供应商为制造商的需提供《医疗器械生产许可证》及所投产品的《医疗器械注册证》;供应商为代理商的需提供《医疗器械经营许可证》和制造商的《医疗器械生产许可证及所投产品的《医疗器械注册证》。并进行电子签章。</w:t>
      </w:r>
    </w:p>
    <w:p>
      <w:pPr>
        <w:pStyle w:val="null3"/>
      </w:pPr>
      <w:r>
        <w:rPr>
          <w:rFonts w:ascii="仿宋_GB2312" w:hAnsi="仿宋_GB2312" w:cs="仿宋_GB2312" w:eastAsia="仿宋_GB2312"/>
        </w:rPr>
        <w:t>3、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并进行电子签章。</w:t>
      </w:r>
    </w:p>
    <w:p>
      <w:pPr>
        <w:pStyle w:val="null3"/>
      </w:pPr>
      <w:r>
        <w:rPr>
          <w:rFonts w:ascii="仿宋_GB2312" w:hAnsi="仿宋_GB2312" w:cs="仿宋_GB2312" w:eastAsia="仿宋_GB2312"/>
        </w:rPr>
        <w:t>4、财务状况报告：提供2024年度经审计的财务审计报告（成立时间至提交响应文件截止时间不足一年的单位，可提供成立后任意时间段的资产负债表、利润表、现金流量表）或其基本存款账户开户银行出具的本年度资信证明（附开户许可证或基本存款账户信息）。并进行电子签章。</w:t>
      </w:r>
    </w:p>
    <w:p>
      <w:pPr>
        <w:pStyle w:val="null3"/>
      </w:pPr>
      <w:r>
        <w:rPr>
          <w:rFonts w:ascii="仿宋_GB2312" w:hAnsi="仿宋_GB2312" w:cs="仿宋_GB2312" w:eastAsia="仿宋_GB2312"/>
        </w:rPr>
        <w:t>5、税收缴纳证明：提供2024年12月1日至投标截止日已缴纳任意一个月纳税证明或完税证明，依法免税的单位应提供相关证明材料；并进行电子签章。</w:t>
      </w:r>
    </w:p>
    <w:p>
      <w:pPr>
        <w:pStyle w:val="null3"/>
      </w:pPr>
      <w:r>
        <w:rPr>
          <w:rFonts w:ascii="仿宋_GB2312" w:hAnsi="仿宋_GB2312" w:cs="仿宋_GB2312" w:eastAsia="仿宋_GB2312"/>
        </w:rPr>
        <w:t>6、社会保障资金缴纳证明：提供2024年12月1日至投标截止日任意一个月的社会保障资金缴存单据或社保机构开具的社会保险参保缴费情况证明，依法不需要缴纳社会保障资金的单位应提供相关证明材料；并进行电子签章。</w:t>
      </w:r>
    </w:p>
    <w:p>
      <w:pPr>
        <w:pStyle w:val="null3"/>
      </w:pPr>
      <w:r>
        <w:rPr>
          <w:rFonts w:ascii="仿宋_GB2312" w:hAnsi="仿宋_GB2312" w:cs="仿宋_GB2312" w:eastAsia="仿宋_GB2312"/>
        </w:rPr>
        <w:t>7、投标人应具有履行合同所必需的设备和专业技术能力：提供具备履行合同所必需的设备和专业技术能力的证明材料承诺；并进行电子签章。</w:t>
      </w:r>
    </w:p>
    <w:p>
      <w:pPr>
        <w:pStyle w:val="null3"/>
      </w:pPr>
      <w:r>
        <w:rPr>
          <w:rFonts w:ascii="仿宋_GB2312" w:hAnsi="仿宋_GB2312" w:cs="仿宋_GB2312" w:eastAsia="仿宋_GB2312"/>
        </w:rPr>
        <w:t>8、无重大违法记录的书面声明：参加政府采购活动前3年内在经营活动中没有重大违法记录的书面声明；并进行电子签章。</w:t>
      </w:r>
    </w:p>
    <w:p>
      <w:pPr>
        <w:pStyle w:val="null3"/>
      </w:pPr>
      <w:r>
        <w:rPr>
          <w:rFonts w:ascii="仿宋_GB2312" w:hAnsi="仿宋_GB2312" w:cs="仿宋_GB2312" w:eastAsia="仿宋_GB2312"/>
        </w:rPr>
        <w:t>9、信用中国查询：供应商不得为“信用中国”网站（www.creditchi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并进行电子签章。</w:t>
      </w:r>
    </w:p>
    <w:p>
      <w:pPr>
        <w:pStyle w:val="null3"/>
      </w:pPr>
      <w:r>
        <w:rPr>
          <w:rFonts w:ascii="仿宋_GB2312" w:hAnsi="仿宋_GB2312" w:cs="仿宋_GB2312" w:eastAsia="仿宋_GB2312"/>
        </w:rPr>
        <w:t>10、控股关系：单位负责人为同一人或者存在直接控股、管理关系的不同单位，不得参加同一合同项下的政府采购活动；并进行电子签章。</w:t>
      </w:r>
    </w:p>
    <w:p>
      <w:pPr>
        <w:pStyle w:val="null3"/>
      </w:pPr>
      <w:r>
        <w:rPr>
          <w:rFonts w:ascii="仿宋_GB2312" w:hAnsi="仿宋_GB2312" w:cs="仿宋_GB2312" w:eastAsia="仿宋_GB2312"/>
        </w:rPr>
        <w:t>11、本项目专门面向中小企业采购：本项目专门面向中小企业采购，供应商须为中小企业，并提供声明函；并进行电子签章。</w:t>
      </w:r>
    </w:p>
    <w:p>
      <w:pPr>
        <w:pStyle w:val="null3"/>
      </w:pPr>
      <w:r>
        <w:rPr>
          <w:rFonts w:ascii="仿宋_GB2312" w:hAnsi="仿宋_GB2312" w:cs="仿宋_GB2312" w:eastAsia="仿宋_GB2312"/>
        </w:rPr>
        <w:t>12、非联合体声明：本项目不接受联合体投标；并进行电子签章。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临潼区西关正街99号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029-83851009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经协商由中标供应商按国家发展和改革委员发改价格【2011】534号文规定取费标准向采购代理机构支付招标代理服务费（包含“招标代理费、会务费（如有）”）；代理服务费由中标供应商在领取成交通知书前，向陕西正邦招标有限责任公司支付。如本项目各包服务费不足伍仟元则供应商按伍仟元支付服务费；名称：陕西正邦招标有限责任公司 开户行：平安银行股西安分行营业部/平安银行西安分行 账号：30205380001891 备注：请注明费用信息“ZBZB-2025-2642招标服务费”。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西安市临潼区妇幼保健计划生育服务中心</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西安市临潼区妇幼保健计划生育服务中心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（一）验收：（1）现场验收：设备及其备附件到达采购人指定地点后，采购人根据合同要求，在成交供应商和采购人双方同时在场的情况下，进行外观验收，确认产地、规格、型号和数量。 （2）安装调试：成交供应商应配合采购人的工期要求，负责在现场对设备进行安装、调试和试运行，直至验收合格。成交供应商应提供全部安装、调试过程中所需的材料、设施设备、人工等。 （3）成交供应商应向采购人提交项目实施过程中的所有资料，以便采购人日后管理和维护。</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联系电话：029-85578186转819</w:t>
      </w:r>
    </w:p>
    <w:p>
      <w:pPr>
        <w:pStyle w:val="null3"/>
      </w:pPr>
      <w:r>
        <w:rPr>
          <w:rFonts w:ascii="仿宋_GB2312" w:hAnsi="仿宋_GB2312" w:cs="仿宋_GB2312" w:eastAsia="仿宋_GB2312"/>
        </w:rPr>
        <w:t>地址：西安市雁塔区朱雀大街南段69号长丰园三区5号楼9层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采购人体成分分析仪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人体成分分析仪及营养管理系统技术参数要求</w:t>
            </w:r>
          </w:p>
          <w:p>
            <w:pPr>
              <w:pStyle w:val="null3"/>
              <w:jc w:val="both"/>
            </w:pPr>
            <w:r>
              <w:rPr>
                <w:rFonts w:ascii="仿宋_GB2312" w:hAnsi="仿宋_GB2312" w:cs="仿宋_GB2312" w:eastAsia="仿宋_GB2312"/>
                <w:sz w:val="20"/>
              </w:rPr>
              <w:t>一、设备用途：主要用于身体成分、水分比例、营养状态、肥胖分析、浮肿状态、重量控制、健康诊断等功能。</w:t>
            </w:r>
          </w:p>
          <w:p>
            <w:pPr>
              <w:pStyle w:val="null3"/>
              <w:jc w:val="both"/>
            </w:pPr>
            <w:r>
              <w:rPr>
                <w:rFonts w:ascii="仿宋_GB2312" w:hAnsi="仿宋_GB2312" w:cs="仿宋_GB2312" w:eastAsia="仿宋_GB2312"/>
                <w:sz w:val="20"/>
              </w:rPr>
              <w:t>二、系统概念：精准分析及评估身体各部位体成分数据，为营养评估、营养管理、肥胖评估、健康管理等提供可靠数据支持</w:t>
            </w:r>
          </w:p>
          <w:p>
            <w:pPr>
              <w:pStyle w:val="null3"/>
              <w:jc w:val="both"/>
            </w:pPr>
            <w:r>
              <w:rPr>
                <w:rFonts w:ascii="仿宋_GB2312" w:hAnsi="仿宋_GB2312" w:cs="仿宋_GB2312" w:eastAsia="仿宋_GB2312"/>
                <w:sz w:val="20"/>
              </w:rPr>
              <w:t>三、设备技术参数要求：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测定项目：细胞内、外水分，蛋白质，无机盐，体脂肪，身体总水分、肌肉量，去脂体重，体重，</w:t>
            </w:r>
            <w:r>
              <w:rPr>
                <w:rFonts w:ascii="仿宋_GB2312" w:hAnsi="仿宋_GB2312" w:cs="仿宋_GB2312" w:eastAsia="仿宋_GB2312"/>
                <w:sz w:val="20"/>
              </w:rPr>
              <w:t>BMI</w:t>
            </w:r>
            <w:r>
              <w:rPr>
                <w:rFonts w:ascii="仿宋_GB2312" w:hAnsi="仿宋_GB2312" w:cs="仿宋_GB2312" w:eastAsia="仿宋_GB2312"/>
                <w:sz w:val="20"/>
              </w:rPr>
              <w:t>，体脂百分比，腰臀比（</w:t>
            </w:r>
            <w:r>
              <w:rPr>
                <w:rFonts w:ascii="仿宋_GB2312" w:hAnsi="仿宋_GB2312" w:cs="仿宋_GB2312" w:eastAsia="仿宋_GB2312"/>
                <w:sz w:val="20"/>
              </w:rPr>
              <w:t>WHR)</w:t>
            </w:r>
            <w:r>
              <w:rPr>
                <w:rFonts w:ascii="仿宋_GB2312" w:hAnsi="仿宋_GB2312" w:cs="仿宋_GB2312" w:eastAsia="仿宋_GB2312"/>
                <w:sz w:val="20"/>
              </w:rPr>
              <w:t>，基础代谢，节段性肌肉分析，节段性脂肪分析，浮肿指数（</w:t>
            </w:r>
            <w:r>
              <w:rPr>
                <w:rFonts w:ascii="仿宋_GB2312" w:hAnsi="仿宋_GB2312" w:cs="仿宋_GB2312" w:eastAsia="仿宋_GB2312"/>
                <w:sz w:val="20"/>
              </w:rPr>
              <w:t>ECF/TBF,ECW/TBW</w:t>
            </w:r>
            <w:r>
              <w:rPr>
                <w:rFonts w:ascii="仿宋_GB2312" w:hAnsi="仿宋_GB2312" w:cs="仿宋_GB2312" w:eastAsia="仿宋_GB2312"/>
                <w:sz w:val="20"/>
              </w:rPr>
              <w:t>），（全身和节段性浮肿指数），内脏脂肪分析（</w:t>
            </w:r>
            <w:r>
              <w:rPr>
                <w:rFonts w:ascii="仿宋_GB2312" w:hAnsi="仿宋_GB2312" w:cs="仿宋_GB2312" w:eastAsia="仿宋_GB2312"/>
                <w:sz w:val="20"/>
              </w:rPr>
              <w:t>18</w:t>
            </w:r>
            <w:r>
              <w:rPr>
                <w:rFonts w:ascii="仿宋_GB2312" w:hAnsi="仿宋_GB2312" w:cs="仿宋_GB2312" w:eastAsia="仿宋_GB2312"/>
                <w:sz w:val="20"/>
              </w:rPr>
              <w:t>岁以下未成年人显示成长曲线</w:t>
            </w:r>
            <w:r>
              <w:rPr>
                <w:rFonts w:ascii="仿宋_GB2312" w:hAnsi="仿宋_GB2312" w:cs="仿宋_GB2312" w:eastAsia="仿宋_GB2312"/>
                <w:sz w:val="20"/>
              </w:rPr>
              <w:t>-</w:t>
            </w:r>
            <w:r>
              <w:rPr>
                <w:rFonts w:ascii="仿宋_GB2312" w:hAnsi="仿宋_GB2312" w:cs="仿宋_GB2312" w:eastAsia="仿宋_GB2312"/>
                <w:sz w:val="20"/>
              </w:rPr>
              <w:t>身</w:t>
            </w:r>
            <w:r>
              <w:rPr>
                <w:rFonts w:ascii="仿宋_GB2312" w:hAnsi="仿宋_GB2312" w:cs="仿宋_GB2312" w:eastAsia="仿宋_GB2312"/>
                <w:sz w:val="20"/>
              </w:rPr>
              <w:t>高、体重），营养评估（蛋白质，无机盐，体脂肪），肥胖分析（</w:t>
            </w:r>
            <w:r>
              <w:rPr>
                <w:rFonts w:ascii="仿宋_GB2312" w:hAnsi="仿宋_GB2312" w:cs="仿宋_GB2312" w:eastAsia="仿宋_GB2312"/>
                <w:sz w:val="20"/>
              </w:rPr>
              <w:t>BMI</w:t>
            </w:r>
            <w:r>
              <w:rPr>
                <w:rFonts w:ascii="仿宋_GB2312" w:hAnsi="仿宋_GB2312" w:cs="仿宋_GB2312" w:eastAsia="仿宋_GB2312"/>
                <w:sz w:val="20"/>
              </w:rPr>
              <w:t>、体脂百分比、腰臀比），体重管理（体重、肌肉量、体脂肪），体重控制（目标体重、体重控制、脂肪控制、肌肉控制）、相位角</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增长控制及目标：目标体重，体重控制，脂肪控制，肌肉控制，健康评估（分）</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历史数据对比分析：</w:t>
            </w:r>
          </w:p>
          <w:p>
            <w:pPr>
              <w:pStyle w:val="null3"/>
            </w:pPr>
            <w:r>
              <w:rPr>
                <w:rFonts w:ascii="仿宋_GB2312" w:hAnsi="仿宋_GB2312" w:cs="仿宋_GB2312" w:eastAsia="仿宋_GB2312"/>
                <w:sz w:val="20"/>
              </w:rPr>
              <w:t>3.1.</w:t>
            </w:r>
            <w:r>
              <w:rPr>
                <w:rFonts w:ascii="仿宋_GB2312" w:hAnsi="仿宋_GB2312" w:cs="仿宋_GB2312" w:eastAsia="仿宋_GB2312"/>
                <w:sz w:val="20"/>
              </w:rPr>
              <w:t xml:space="preserve">成人版：体重、体脂百分比、肌肉量、内脏脂肪面积历史数据变化曲线图，全方位监控身体健康 </w:t>
            </w:r>
          </w:p>
          <w:p>
            <w:pPr>
              <w:pStyle w:val="null3"/>
            </w:pPr>
            <w:r>
              <w:rPr>
                <w:rFonts w:ascii="仿宋_GB2312" w:hAnsi="仿宋_GB2312" w:cs="仿宋_GB2312" w:eastAsia="仿宋_GB2312"/>
                <w:sz w:val="20"/>
              </w:rPr>
              <w:t>3.2.</w:t>
            </w:r>
            <w:r>
              <w:rPr>
                <w:rFonts w:ascii="仿宋_GB2312" w:hAnsi="仿宋_GB2312" w:cs="仿宋_GB2312" w:eastAsia="仿宋_GB2312"/>
                <w:sz w:val="20"/>
              </w:rPr>
              <w:t>儿童版：体脂百分比、肌肉量历史数据变化曲线图，全方位监控身体健康</w:t>
            </w:r>
          </w:p>
          <w:p>
            <w:pPr>
              <w:pStyle w:val="null3"/>
              <w:jc w:val="both"/>
            </w:pPr>
            <w:r>
              <w:rPr>
                <w:rFonts w:ascii="仿宋_GB2312" w:hAnsi="仿宋_GB2312" w:cs="仿宋_GB2312" w:eastAsia="仿宋_GB2312"/>
                <w:sz w:val="20"/>
              </w:rPr>
              <w:t xml:space="preserve">4. </w:t>
            </w:r>
            <w:r>
              <w:rPr>
                <w:rFonts w:ascii="仿宋_GB2312" w:hAnsi="仿宋_GB2312" w:cs="仿宋_GB2312" w:eastAsia="仿宋_GB2312"/>
                <w:sz w:val="20"/>
              </w:rPr>
              <w:t>存储能力：≥</w:t>
            </w:r>
            <w:r>
              <w:rPr>
                <w:rFonts w:ascii="仿宋_GB2312" w:hAnsi="仿宋_GB2312" w:cs="仿宋_GB2312" w:eastAsia="仿宋_GB2312"/>
                <w:sz w:val="20"/>
              </w:rPr>
              <w:t>500</w:t>
            </w:r>
            <w:r>
              <w:rPr>
                <w:rFonts w:ascii="仿宋_GB2312" w:hAnsi="仿宋_GB2312" w:cs="仿宋_GB2312" w:eastAsia="仿宋_GB2312"/>
                <w:sz w:val="20"/>
              </w:rPr>
              <w:t>万条检测记录</w:t>
            </w:r>
          </w:p>
          <w:p>
            <w:pPr>
              <w:pStyle w:val="null3"/>
              <w:jc w:val="both"/>
            </w:pPr>
            <w:r>
              <w:rPr>
                <w:rFonts w:ascii="仿宋_GB2312" w:hAnsi="仿宋_GB2312" w:cs="仿宋_GB2312" w:eastAsia="仿宋_GB2312"/>
                <w:sz w:val="20"/>
              </w:rPr>
              <w:t xml:space="preserve">5. </w:t>
            </w:r>
            <w:r>
              <w:rPr>
                <w:rFonts w:ascii="仿宋_GB2312" w:hAnsi="仿宋_GB2312" w:cs="仿宋_GB2312" w:eastAsia="仿宋_GB2312"/>
                <w:sz w:val="20"/>
              </w:rPr>
              <w:t>测量时间：约</w:t>
            </w:r>
            <w:r>
              <w:rPr>
                <w:rFonts w:ascii="仿宋_GB2312" w:hAnsi="仿宋_GB2312" w:cs="仿宋_GB2312" w:eastAsia="仿宋_GB2312"/>
                <w:sz w:val="20"/>
              </w:rPr>
              <w:t>1</w:t>
            </w:r>
            <w:r>
              <w:rPr>
                <w:rFonts w:ascii="仿宋_GB2312" w:hAnsi="仿宋_GB2312" w:cs="仿宋_GB2312" w:eastAsia="仿宋_GB2312"/>
                <w:sz w:val="20"/>
              </w:rPr>
              <w:t>分钟</w:t>
            </w:r>
          </w:p>
          <w:p>
            <w:pPr>
              <w:pStyle w:val="null3"/>
              <w:jc w:val="both"/>
            </w:pPr>
            <w:r>
              <w:rPr>
                <w:rFonts w:ascii="仿宋_GB2312" w:hAnsi="仿宋_GB2312" w:cs="仿宋_GB2312" w:eastAsia="仿宋_GB2312"/>
                <w:sz w:val="20"/>
              </w:rPr>
              <w:t xml:space="preserve">6. </w:t>
            </w:r>
            <w:r>
              <w:rPr>
                <w:rFonts w:ascii="仿宋_GB2312" w:hAnsi="仿宋_GB2312" w:cs="仿宋_GB2312" w:eastAsia="仿宋_GB2312"/>
                <w:sz w:val="20"/>
              </w:rPr>
              <w:t>操作系统和语言：</w:t>
            </w:r>
            <w:r>
              <w:rPr>
                <w:rFonts w:ascii="仿宋_GB2312" w:hAnsi="仿宋_GB2312" w:cs="仿宋_GB2312" w:eastAsia="仿宋_GB2312"/>
                <w:sz w:val="20"/>
              </w:rPr>
              <w:t>Ubuntu</w:t>
            </w:r>
            <w:r>
              <w:rPr>
                <w:rFonts w:ascii="仿宋_GB2312" w:hAnsi="仿宋_GB2312" w:cs="仿宋_GB2312" w:eastAsia="仿宋_GB2312"/>
                <w:sz w:val="20"/>
              </w:rPr>
              <w:t>系统，中文语言</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 xml:space="preserve">7. </w:t>
            </w:r>
            <w:r>
              <w:rPr>
                <w:rFonts w:ascii="仿宋_GB2312" w:hAnsi="仿宋_GB2312" w:cs="仿宋_GB2312" w:eastAsia="仿宋_GB2312"/>
                <w:sz w:val="20"/>
              </w:rPr>
              <w:t>多频点测量：</w:t>
            </w:r>
            <w:r>
              <w:rPr>
                <w:rFonts w:ascii="仿宋_GB2312" w:hAnsi="仿宋_GB2312" w:cs="仿宋_GB2312" w:eastAsia="仿宋_GB2312"/>
                <w:sz w:val="20"/>
              </w:rPr>
              <w:t>1kHz</w:t>
            </w:r>
            <w:r>
              <w:rPr>
                <w:rFonts w:ascii="仿宋_GB2312" w:hAnsi="仿宋_GB2312" w:cs="仿宋_GB2312" w:eastAsia="仿宋_GB2312"/>
                <w:sz w:val="20"/>
              </w:rPr>
              <w:t>、</w:t>
            </w:r>
            <w:r>
              <w:rPr>
                <w:rFonts w:ascii="仿宋_GB2312" w:hAnsi="仿宋_GB2312" w:cs="仿宋_GB2312" w:eastAsia="仿宋_GB2312"/>
                <w:sz w:val="20"/>
              </w:rPr>
              <w:t>5kHz</w:t>
            </w:r>
            <w:r>
              <w:rPr>
                <w:rFonts w:ascii="仿宋_GB2312" w:hAnsi="仿宋_GB2312" w:cs="仿宋_GB2312" w:eastAsia="仿宋_GB2312"/>
                <w:sz w:val="20"/>
              </w:rPr>
              <w:t>、</w:t>
            </w:r>
            <w:r>
              <w:rPr>
                <w:rFonts w:ascii="仿宋_GB2312" w:hAnsi="仿宋_GB2312" w:cs="仿宋_GB2312" w:eastAsia="仿宋_GB2312"/>
                <w:sz w:val="20"/>
              </w:rPr>
              <w:t>50kHz</w:t>
            </w:r>
            <w:r>
              <w:rPr>
                <w:rFonts w:ascii="仿宋_GB2312" w:hAnsi="仿宋_GB2312" w:cs="仿宋_GB2312" w:eastAsia="仿宋_GB2312"/>
                <w:sz w:val="20"/>
              </w:rPr>
              <w:t>、</w:t>
            </w:r>
            <w:r>
              <w:rPr>
                <w:rFonts w:ascii="仿宋_GB2312" w:hAnsi="仿宋_GB2312" w:cs="仿宋_GB2312" w:eastAsia="仿宋_GB2312"/>
                <w:sz w:val="20"/>
              </w:rPr>
              <w:t>250kHz</w:t>
            </w:r>
            <w:r>
              <w:rPr>
                <w:rFonts w:ascii="仿宋_GB2312" w:hAnsi="仿宋_GB2312" w:cs="仿宋_GB2312" w:eastAsia="仿宋_GB2312"/>
                <w:sz w:val="20"/>
              </w:rPr>
              <w:t>、</w:t>
            </w:r>
            <w:r>
              <w:rPr>
                <w:rFonts w:ascii="仿宋_GB2312" w:hAnsi="仿宋_GB2312" w:cs="仿宋_GB2312" w:eastAsia="仿宋_GB2312"/>
                <w:sz w:val="20"/>
              </w:rPr>
              <w:t>500kHz</w:t>
            </w:r>
            <w:r>
              <w:rPr>
                <w:rFonts w:ascii="仿宋_GB2312" w:hAnsi="仿宋_GB2312" w:cs="仿宋_GB2312" w:eastAsia="仿宋_GB2312"/>
                <w:sz w:val="20"/>
              </w:rPr>
              <w:t>、</w:t>
            </w:r>
            <w:r>
              <w:rPr>
                <w:rFonts w:ascii="仿宋_GB2312" w:hAnsi="仿宋_GB2312" w:cs="仿宋_GB2312" w:eastAsia="仿宋_GB2312"/>
                <w:sz w:val="20"/>
              </w:rPr>
              <w:t>1000kHz</w:t>
            </w:r>
            <w:r>
              <w:rPr>
                <w:rFonts w:ascii="仿宋_GB2312" w:hAnsi="仿宋_GB2312" w:cs="仿宋_GB2312" w:eastAsia="仿宋_GB2312"/>
                <w:sz w:val="20"/>
              </w:rPr>
              <w:t>；（误差范围±</w:t>
            </w:r>
            <w:r>
              <w:rPr>
                <w:rFonts w:ascii="仿宋_GB2312" w:hAnsi="仿宋_GB2312" w:cs="仿宋_GB2312" w:eastAsia="仿宋_GB2312"/>
                <w:sz w:val="20"/>
              </w:rPr>
              <w:t>5%</w:t>
            </w:r>
            <w:r>
              <w:rPr>
                <w:rFonts w:ascii="仿宋_GB2312" w:hAnsi="仿宋_GB2312" w:cs="仿宋_GB2312" w:eastAsia="仿宋_GB2312"/>
                <w:sz w:val="20"/>
              </w:rPr>
              <w:t>，提供检验报告）</w:t>
            </w:r>
          </w:p>
          <w:p>
            <w:pPr>
              <w:pStyle w:val="null3"/>
              <w:jc w:val="both"/>
            </w:pPr>
            <w:r>
              <w:rPr>
                <w:rFonts w:ascii="仿宋_GB2312" w:hAnsi="仿宋_GB2312" w:cs="仿宋_GB2312" w:eastAsia="仿宋_GB2312"/>
                <w:sz w:val="20"/>
              </w:rPr>
              <w:t xml:space="preserve">8. </w:t>
            </w:r>
            <w:r>
              <w:rPr>
                <w:rFonts w:ascii="仿宋_GB2312" w:hAnsi="仿宋_GB2312" w:cs="仿宋_GB2312" w:eastAsia="仿宋_GB2312"/>
                <w:sz w:val="20"/>
              </w:rPr>
              <w:t>生物阻抗频段和测量范围：多频多段生物阻抗测量，</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1200</w:t>
            </w:r>
            <w:r>
              <w:rPr>
                <w:rFonts w:ascii="仿宋_GB2312" w:hAnsi="仿宋_GB2312" w:cs="仿宋_GB2312" w:eastAsia="仿宋_GB2312"/>
                <w:sz w:val="20"/>
              </w:rPr>
              <w:t>Ω（测量误差范围±</w:t>
            </w:r>
            <w:r>
              <w:rPr>
                <w:rFonts w:ascii="仿宋_GB2312" w:hAnsi="仿宋_GB2312" w:cs="仿宋_GB2312" w:eastAsia="仿宋_GB2312"/>
                <w:sz w:val="20"/>
              </w:rPr>
              <w:t>10%</w:t>
            </w:r>
            <w:r>
              <w:rPr>
                <w:rFonts w:ascii="仿宋_GB2312" w:hAnsi="仿宋_GB2312" w:cs="仿宋_GB2312" w:eastAsia="仿宋_GB2312"/>
                <w:sz w:val="20"/>
              </w:rPr>
              <w:t>，提供检验报告）</w:t>
            </w:r>
          </w:p>
          <w:p>
            <w:pPr>
              <w:pStyle w:val="null3"/>
              <w:jc w:val="both"/>
            </w:pPr>
            <w:r>
              <w:rPr>
                <w:rFonts w:ascii="仿宋_GB2312" w:hAnsi="仿宋_GB2312" w:cs="仿宋_GB2312" w:eastAsia="仿宋_GB2312"/>
                <w:sz w:val="20"/>
              </w:rPr>
              <w:t xml:space="preserve">9. </w:t>
            </w:r>
            <w:r>
              <w:rPr>
                <w:rFonts w:ascii="仿宋_GB2312" w:hAnsi="仿宋_GB2312" w:cs="仿宋_GB2312" w:eastAsia="仿宋_GB2312"/>
                <w:sz w:val="20"/>
              </w:rPr>
              <w:t>多段测量：双上肢、双下肢及躯干</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电极：八点接触式</w:t>
            </w:r>
          </w:p>
          <w:p>
            <w:pPr>
              <w:pStyle w:val="null3"/>
              <w:jc w:val="both"/>
            </w:pPr>
            <w:r>
              <w:rPr>
                <w:rFonts w:ascii="仿宋_GB2312" w:hAnsi="仿宋_GB2312" w:cs="仿宋_GB2312" w:eastAsia="仿宋_GB2312"/>
                <w:sz w:val="20"/>
              </w:rPr>
              <w:t xml:space="preserve">11. </w:t>
            </w:r>
            <w:r>
              <w:rPr>
                <w:rFonts w:ascii="仿宋_GB2312" w:hAnsi="仿宋_GB2312" w:cs="仿宋_GB2312" w:eastAsia="仿宋_GB2312"/>
                <w:sz w:val="20"/>
              </w:rPr>
              <w:t>主板要求：支持</w:t>
            </w:r>
            <w:r>
              <w:rPr>
                <w:rFonts w:ascii="仿宋_GB2312" w:hAnsi="仿宋_GB2312" w:cs="仿宋_GB2312" w:eastAsia="仿宋_GB2312"/>
                <w:sz w:val="20"/>
              </w:rPr>
              <w:t>Ubuntu</w:t>
            </w:r>
            <w:r>
              <w:rPr>
                <w:rFonts w:ascii="仿宋_GB2312" w:hAnsi="仿宋_GB2312" w:cs="仿宋_GB2312" w:eastAsia="仿宋_GB2312"/>
                <w:sz w:val="20"/>
              </w:rPr>
              <w:t>系统，存储</w:t>
            </w:r>
            <w:r>
              <w:rPr>
                <w:rFonts w:ascii="仿宋_GB2312" w:hAnsi="仿宋_GB2312" w:cs="仿宋_GB2312" w:eastAsia="仿宋_GB2312"/>
                <w:sz w:val="20"/>
              </w:rPr>
              <w:t>4G,</w:t>
            </w:r>
            <w:r>
              <w:rPr>
                <w:rFonts w:ascii="仿宋_GB2312" w:hAnsi="仿宋_GB2312" w:cs="仿宋_GB2312" w:eastAsia="仿宋_GB2312"/>
                <w:sz w:val="20"/>
              </w:rPr>
              <w:t>内存</w:t>
            </w:r>
            <w:r>
              <w:rPr>
                <w:rFonts w:ascii="仿宋_GB2312" w:hAnsi="仿宋_GB2312" w:cs="仿宋_GB2312" w:eastAsia="仿宋_GB2312"/>
                <w:sz w:val="20"/>
              </w:rPr>
              <w:t>1G</w:t>
            </w:r>
            <w:r>
              <w:rPr>
                <w:rFonts w:ascii="仿宋_GB2312" w:hAnsi="仿宋_GB2312" w:cs="仿宋_GB2312" w:eastAsia="仿宋_GB2312"/>
                <w:sz w:val="20"/>
              </w:rPr>
              <w:t>，</w:t>
            </w:r>
            <w:r>
              <w:rPr>
                <w:rFonts w:ascii="仿宋_GB2312" w:hAnsi="仿宋_GB2312" w:cs="仿宋_GB2312" w:eastAsia="仿宋_GB2312"/>
                <w:sz w:val="20"/>
              </w:rPr>
              <w:t>USB</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个，串口（</w:t>
            </w:r>
            <w:r>
              <w:rPr>
                <w:rFonts w:ascii="仿宋_GB2312" w:hAnsi="仿宋_GB2312" w:cs="仿宋_GB2312" w:eastAsia="仿宋_GB2312"/>
                <w:sz w:val="20"/>
              </w:rPr>
              <w:t>Com</w:t>
            </w:r>
            <w:r>
              <w:rPr>
                <w:rFonts w:ascii="仿宋_GB2312" w:hAnsi="仿宋_GB2312" w:cs="仿宋_GB2312" w:eastAsia="仿宋_GB2312"/>
                <w:sz w:val="20"/>
              </w:rPr>
              <w:t>）</w:t>
            </w:r>
            <w:r>
              <w:rPr>
                <w:rFonts w:ascii="仿宋_GB2312" w:hAnsi="仿宋_GB2312" w:cs="仿宋_GB2312" w:eastAsia="仿宋_GB2312"/>
                <w:sz w:val="20"/>
              </w:rPr>
              <w:t>2*RS232</w:t>
            </w:r>
            <w:r>
              <w:rPr>
                <w:rFonts w:ascii="仿宋_GB2312" w:hAnsi="仿宋_GB2312" w:cs="仿宋_GB2312" w:eastAsia="仿宋_GB2312"/>
                <w:sz w:val="20"/>
              </w:rPr>
              <w:t>，网口</w:t>
            </w:r>
            <w:r>
              <w:rPr>
                <w:rFonts w:ascii="仿宋_GB2312" w:hAnsi="仿宋_GB2312" w:cs="仿宋_GB2312" w:eastAsia="仿宋_GB2312"/>
                <w:sz w:val="20"/>
              </w:rPr>
              <w:t>1*RJ45</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主显示屏：≥</w:t>
            </w:r>
            <w:r>
              <w:rPr>
                <w:rFonts w:ascii="仿宋_GB2312" w:hAnsi="仿宋_GB2312" w:cs="仿宋_GB2312" w:eastAsia="仿宋_GB2312"/>
                <w:sz w:val="20"/>
              </w:rPr>
              <w:t>12.1</w:t>
            </w:r>
            <w:r>
              <w:rPr>
                <w:rFonts w:ascii="仿宋_GB2312" w:hAnsi="仿宋_GB2312" w:cs="仿宋_GB2312" w:eastAsia="仿宋_GB2312"/>
                <w:sz w:val="20"/>
              </w:rPr>
              <w:t>寸触摸屏，分辨率</w:t>
            </w:r>
            <w:r>
              <w:rPr>
                <w:rFonts w:ascii="仿宋_GB2312" w:hAnsi="仿宋_GB2312" w:cs="仿宋_GB2312" w:eastAsia="仿宋_GB2312"/>
                <w:sz w:val="20"/>
              </w:rPr>
              <w:t>1024*768</w:t>
            </w:r>
            <w:r>
              <w:rPr>
                <w:rFonts w:ascii="仿宋_GB2312" w:hAnsi="仿宋_GB2312" w:cs="仿宋_GB2312" w:eastAsia="仿宋_GB2312"/>
                <w:sz w:val="20"/>
              </w:rPr>
              <w:t>，</w:t>
            </w:r>
            <w:r>
              <w:rPr>
                <w:rFonts w:ascii="仿宋_GB2312" w:hAnsi="仿宋_GB2312" w:cs="仿宋_GB2312" w:eastAsia="仿宋_GB2312"/>
                <w:sz w:val="20"/>
              </w:rPr>
              <w:t>View Angle 80/80/80/80(</w:t>
            </w:r>
            <w:r>
              <w:rPr>
                <w:rFonts w:ascii="仿宋_GB2312" w:hAnsi="仿宋_GB2312" w:cs="仿宋_GB2312" w:eastAsia="仿宋_GB2312"/>
                <w:sz w:val="20"/>
              </w:rPr>
              <w:t>典型</w:t>
            </w:r>
            <w:r>
              <w:rPr>
                <w:rFonts w:ascii="仿宋_GB2312" w:hAnsi="仿宋_GB2312" w:cs="仿宋_GB2312" w:eastAsia="仿宋_GB2312"/>
                <w:sz w:val="20"/>
              </w:rPr>
              <w:t>)</w:t>
            </w:r>
            <w:r>
              <w:rPr>
                <w:rFonts w:ascii="仿宋_GB2312" w:hAnsi="仿宋_GB2312" w:cs="仿宋_GB2312" w:eastAsia="仿宋_GB2312"/>
                <w:sz w:val="20"/>
              </w:rPr>
              <w:t>，数据接口</w:t>
            </w:r>
            <w:r>
              <w:rPr>
                <w:rFonts w:ascii="仿宋_GB2312" w:hAnsi="仿宋_GB2312" w:cs="仿宋_GB2312" w:eastAsia="仿宋_GB2312"/>
                <w:sz w:val="20"/>
              </w:rPr>
              <w:t>LVDS</w:t>
            </w:r>
            <w:r>
              <w:rPr>
                <w:rFonts w:ascii="仿宋_GB2312" w:hAnsi="仿宋_GB2312" w:cs="仿宋_GB2312" w:eastAsia="仿宋_GB2312"/>
                <w:sz w:val="20"/>
              </w:rPr>
              <w:t>，透光率</w:t>
            </w:r>
            <w:r>
              <w:rPr>
                <w:rFonts w:ascii="仿宋_GB2312" w:hAnsi="仿宋_GB2312" w:cs="仿宋_GB2312" w:eastAsia="仿宋_GB2312"/>
                <w:sz w:val="20"/>
              </w:rPr>
              <w:t>75</w:t>
            </w:r>
            <w:r>
              <w:rPr>
                <w:rFonts w:ascii="仿宋_GB2312" w:hAnsi="仿宋_GB2312" w:cs="仿宋_GB2312" w:eastAsia="仿宋_GB2312"/>
                <w:sz w:val="20"/>
              </w:rPr>
              <w:t>～</w:t>
            </w:r>
            <w:r>
              <w:rPr>
                <w:rFonts w:ascii="仿宋_GB2312" w:hAnsi="仿宋_GB2312" w:cs="仿宋_GB2312" w:eastAsia="仿宋_GB2312"/>
                <w:sz w:val="20"/>
              </w:rPr>
              <w:t>85%</w:t>
            </w:r>
            <w:r>
              <w:rPr>
                <w:rFonts w:ascii="仿宋_GB2312" w:hAnsi="仿宋_GB2312" w:cs="仿宋_GB2312" w:eastAsia="仿宋_GB2312"/>
                <w:sz w:val="20"/>
              </w:rPr>
              <w:t>，线性不大于±</w:t>
            </w:r>
            <w:r>
              <w:rPr>
                <w:rFonts w:ascii="仿宋_GB2312" w:hAnsi="仿宋_GB2312" w:cs="仿宋_GB2312" w:eastAsia="仿宋_GB2312"/>
                <w:sz w:val="20"/>
              </w:rPr>
              <w:t>1.5%</w:t>
            </w:r>
            <w:r>
              <w:rPr>
                <w:rFonts w:ascii="仿宋_GB2312" w:hAnsi="仿宋_GB2312" w:cs="仿宋_GB2312" w:eastAsia="仿宋_GB2312"/>
                <w:sz w:val="20"/>
              </w:rPr>
              <w:t>，操作压力＜</w:t>
            </w:r>
            <w:r>
              <w:rPr>
                <w:rFonts w:ascii="仿宋_GB2312" w:hAnsi="仿宋_GB2312" w:cs="仿宋_GB2312" w:eastAsia="仿宋_GB2312"/>
                <w:sz w:val="20"/>
              </w:rPr>
              <w:t>100g</w:t>
            </w:r>
          </w:p>
          <w:p>
            <w:pPr>
              <w:pStyle w:val="null3"/>
              <w:jc w:val="both"/>
            </w:pPr>
            <w:r>
              <w:rPr>
                <w:rFonts w:ascii="仿宋_GB2312" w:hAnsi="仿宋_GB2312" w:cs="仿宋_GB2312" w:eastAsia="仿宋_GB2312"/>
                <w:sz w:val="20"/>
              </w:rPr>
              <w:t xml:space="preserve">13. </w:t>
            </w:r>
            <w:r>
              <w:rPr>
                <w:rFonts w:ascii="仿宋_GB2312" w:hAnsi="仿宋_GB2312" w:cs="仿宋_GB2312" w:eastAsia="仿宋_GB2312"/>
                <w:sz w:val="20"/>
              </w:rPr>
              <w:t>手脚数据采集器：符合人机工程设计，有效面积内任意</w:t>
            </w:r>
            <w:r>
              <w:rPr>
                <w:rFonts w:ascii="仿宋_GB2312" w:hAnsi="仿宋_GB2312" w:cs="仿宋_GB2312" w:eastAsia="仿宋_GB2312"/>
                <w:sz w:val="20"/>
              </w:rPr>
              <w:t>10mm</w:t>
            </w:r>
            <w:r>
              <w:rPr>
                <w:rFonts w:ascii="仿宋_GB2312" w:hAnsi="仿宋_GB2312" w:cs="仿宋_GB2312" w:eastAsia="仿宋_GB2312"/>
                <w:sz w:val="20"/>
              </w:rPr>
              <w:t>两点之间的电阻应不大于</w:t>
            </w:r>
            <w:r>
              <w:rPr>
                <w:rFonts w:ascii="仿宋_GB2312" w:hAnsi="仿宋_GB2312" w:cs="仿宋_GB2312" w:eastAsia="仿宋_GB2312"/>
                <w:sz w:val="20"/>
              </w:rPr>
              <w:t>0.5</w:t>
            </w:r>
            <w:r>
              <w:rPr>
                <w:rFonts w:ascii="仿宋_GB2312" w:hAnsi="仿宋_GB2312" w:cs="仿宋_GB2312" w:eastAsia="仿宋_GB2312"/>
                <w:sz w:val="20"/>
              </w:rPr>
              <w:t>Ω（提供检验报告）</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体重秤：零点校准功能，量程</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250kg</w:t>
            </w:r>
            <w:r>
              <w:rPr>
                <w:rFonts w:ascii="仿宋_GB2312" w:hAnsi="仿宋_GB2312" w:cs="仿宋_GB2312" w:eastAsia="仿宋_GB2312"/>
                <w:sz w:val="20"/>
              </w:rPr>
              <w:t>，误差±</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四、营养管理系统技术要求：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孕期营养筛查与干预系统技术要求：</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用户管理模块——档案管理：扫码建档、手动建档；档案查询</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1.1.1.</w:t>
            </w:r>
            <w:r>
              <w:rPr>
                <w:rFonts w:ascii="仿宋_GB2312" w:hAnsi="仿宋_GB2312" w:cs="仿宋_GB2312" w:eastAsia="仿宋_GB2312"/>
                <w:sz w:val="20"/>
              </w:rPr>
              <w:t>健康档案建立：通过</w:t>
            </w:r>
            <w:r>
              <w:rPr>
                <w:rFonts w:ascii="仿宋_GB2312" w:hAnsi="仿宋_GB2312" w:cs="仿宋_GB2312" w:eastAsia="仿宋_GB2312"/>
                <w:sz w:val="20"/>
              </w:rPr>
              <w:t>2</w:t>
            </w:r>
            <w:r>
              <w:rPr>
                <w:rFonts w:ascii="仿宋_GB2312" w:hAnsi="仿宋_GB2312" w:cs="仿宋_GB2312" w:eastAsia="仿宋_GB2312"/>
                <w:sz w:val="20"/>
              </w:rPr>
              <w:t>种建档方式后，可录入姓名、年龄、身高、时期（备孕期、成年女性、孕期、产褥期、哺乳期、产后恢复期）、孕前体重、孕前</w:t>
            </w:r>
            <w:r>
              <w:rPr>
                <w:rFonts w:ascii="仿宋_GB2312" w:hAnsi="仿宋_GB2312" w:cs="仿宋_GB2312" w:eastAsia="仿宋_GB2312"/>
                <w:sz w:val="20"/>
              </w:rPr>
              <w:t>BMI</w:t>
            </w:r>
            <w:r>
              <w:rPr>
                <w:rFonts w:ascii="仿宋_GB2312" w:hAnsi="仿宋_GB2312" w:cs="仿宋_GB2312" w:eastAsia="仿宋_GB2312"/>
                <w:sz w:val="20"/>
              </w:rPr>
              <w:t>、胎数、孕周等建立个性化女性营养档案。</w:t>
            </w:r>
          </w:p>
          <w:p>
            <w:pPr>
              <w:pStyle w:val="null3"/>
              <w:jc w:val="both"/>
            </w:pPr>
            <w:r>
              <w:rPr>
                <w:rFonts w:ascii="仿宋_GB2312" w:hAnsi="仿宋_GB2312" w:cs="仿宋_GB2312" w:eastAsia="仿宋_GB2312"/>
                <w:sz w:val="20"/>
              </w:rPr>
              <w:t>1.1.2.</w:t>
            </w:r>
            <w:r>
              <w:rPr>
                <w:rFonts w:ascii="仿宋_GB2312" w:hAnsi="仿宋_GB2312" w:cs="仿宋_GB2312" w:eastAsia="仿宋_GB2312"/>
                <w:sz w:val="20"/>
              </w:rPr>
              <w:t>档案查询：可基于女性</w:t>
            </w:r>
            <w:r>
              <w:rPr>
                <w:rFonts w:ascii="仿宋_GB2312" w:hAnsi="仿宋_GB2312" w:cs="仿宋_GB2312" w:eastAsia="仿宋_GB2312"/>
                <w:sz w:val="20"/>
              </w:rPr>
              <w:t>ID</w:t>
            </w:r>
            <w:r>
              <w:rPr>
                <w:rFonts w:ascii="仿宋_GB2312" w:hAnsi="仿宋_GB2312" w:cs="仿宋_GB2312" w:eastAsia="仿宋_GB2312"/>
                <w:sz w:val="20"/>
              </w:rPr>
              <w:t>、手机号码、姓名、就诊时间进行营养病例检索。</w:t>
            </w:r>
          </w:p>
          <w:p>
            <w:pPr>
              <w:pStyle w:val="null3"/>
              <w:jc w:val="both"/>
            </w:pPr>
            <w:r>
              <w:rPr>
                <w:rFonts w:ascii="仿宋_GB2312" w:hAnsi="仿宋_GB2312" w:cs="仿宋_GB2312" w:eastAsia="仿宋_GB2312"/>
                <w:sz w:val="20"/>
              </w:rPr>
              <w:t>1.1.3.</w:t>
            </w:r>
            <w:r>
              <w:rPr>
                <w:rFonts w:ascii="仿宋_GB2312" w:hAnsi="仿宋_GB2312" w:cs="仿宋_GB2312" w:eastAsia="仿宋_GB2312"/>
                <w:sz w:val="20"/>
              </w:rPr>
              <w:t>营养档案：支持查询检测结果查询，包含：主诉、体重增长、营养诊断、膳食分析结果、运动分析结果、实验室检测指标、营养干预方案、营养处方笺、生活方式指导及运动处方等。</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膳食调查方法：膳食回顾法、频次法、人工智能图像识别结果扫描法、刻度尺参照法。</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运动调查：运动种类≥</w:t>
            </w:r>
            <w:r>
              <w:rPr>
                <w:rFonts w:ascii="仿宋_GB2312" w:hAnsi="仿宋_GB2312" w:cs="仿宋_GB2312" w:eastAsia="仿宋_GB2312"/>
                <w:sz w:val="20"/>
              </w:rPr>
              <w:t>110</w:t>
            </w:r>
            <w:r>
              <w:rPr>
                <w:rFonts w:ascii="仿宋_GB2312" w:hAnsi="仿宋_GB2312" w:cs="仿宋_GB2312" w:eastAsia="仿宋_GB2312"/>
                <w:sz w:val="20"/>
              </w:rPr>
              <w:t>；快速调查、详细调查、智能扫码调查（小程序记录）。</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五色风险评估</w:t>
            </w:r>
            <w:r>
              <w:rPr>
                <w:rFonts w:ascii="仿宋_GB2312" w:hAnsi="仿宋_GB2312" w:cs="仿宋_GB2312" w:eastAsia="仿宋_GB2312"/>
                <w:sz w:val="20"/>
              </w:rPr>
              <w:t>:</w:t>
            </w:r>
            <w:r>
              <w:rPr>
                <w:rFonts w:ascii="仿宋_GB2312" w:hAnsi="仿宋_GB2312" w:cs="仿宋_GB2312" w:eastAsia="仿宋_GB2312"/>
                <w:sz w:val="20"/>
              </w:rPr>
              <w:t>智能评估高危孕产妇风险等级。</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女性专病营养指导：</w:t>
            </w:r>
          </w:p>
          <w:p>
            <w:pPr>
              <w:pStyle w:val="null3"/>
              <w:jc w:val="both"/>
            </w:pPr>
            <w:r>
              <w:rPr>
                <w:rFonts w:ascii="仿宋_GB2312" w:hAnsi="仿宋_GB2312" w:cs="仿宋_GB2312" w:eastAsia="仿宋_GB2312"/>
                <w:sz w:val="20"/>
              </w:rPr>
              <w:t>1.5.1.</w:t>
            </w:r>
            <w:r>
              <w:rPr>
                <w:rFonts w:ascii="仿宋_GB2312" w:hAnsi="仿宋_GB2312" w:cs="仿宋_GB2312" w:eastAsia="仿宋_GB2312"/>
                <w:sz w:val="20"/>
              </w:rPr>
              <w:t>针对女性不同健康目标，给出妇女日常保健、更年期健康管理、围产保健、孕期五色风险对应策略等营养解决方案；</w:t>
            </w:r>
          </w:p>
          <w:p>
            <w:pPr>
              <w:pStyle w:val="null3"/>
              <w:jc w:val="both"/>
            </w:pPr>
            <w:r>
              <w:rPr>
                <w:rFonts w:ascii="仿宋_GB2312" w:hAnsi="仿宋_GB2312" w:cs="仿宋_GB2312" w:eastAsia="仿宋_GB2312"/>
                <w:sz w:val="20"/>
              </w:rPr>
              <w:t>1.5.2.</w:t>
            </w:r>
            <w:r>
              <w:rPr>
                <w:rFonts w:ascii="仿宋_GB2312" w:hAnsi="仿宋_GB2312" w:cs="仿宋_GB2312" w:eastAsia="仿宋_GB2312"/>
                <w:sz w:val="20"/>
              </w:rPr>
              <w:t>针对女性不同时期（备孕期、孕期、哺乳期、产后女性、围绝经期）给出个性化营养指导方案。</w:t>
            </w:r>
          </w:p>
          <w:p>
            <w:pPr>
              <w:pStyle w:val="null3"/>
              <w:jc w:val="both"/>
            </w:pPr>
            <w:r>
              <w:rPr>
                <w:rFonts w:ascii="仿宋_GB2312" w:hAnsi="仿宋_GB2312" w:cs="仿宋_GB2312" w:eastAsia="仿宋_GB2312"/>
                <w:sz w:val="20"/>
              </w:rPr>
              <w:t>1.5.3.</w:t>
            </w:r>
            <w:r>
              <w:rPr>
                <w:rFonts w:ascii="仿宋_GB2312" w:hAnsi="仿宋_GB2312" w:cs="仿宋_GB2312" w:eastAsia="仿宋_GB2312"/>
                <w:sz w:val="20"/>
              </w:rPr>
              <w:t>针对女性常见营养代谢疾病（≥</w:t>
            </w:r>
            <w:r>
              <w:rPr>
                <w:rFonts w:ascii="仿宋_GB2312" w:hAnsi="仿宋_GB2312" w:cs="仿宋_GB2312" w:eastAsia="仿宋_GB2312"/>
                <w:sz w:val="20"/>
              </w:rPr>
              <w:t>11</w:t>
            </w:r>
            <w:r>
              <w:rPr>
                <w:rFonts w:ascii="仿宋_GB2312" w:hAnsi="仿宋_GB2312" w:cs="仿宋_GB2312" w:eastAsia="仿宋_GB2312"/>
                <w:sz w:val="20"/>
              </w:rPr>
              <w:t>种），进行个性化营养指导。</w:t>
            </w:r>
          </w:p>
          <w:p>
            <w:pPr>
              <w:pStyle w:val="null3"/>
              <w:jc w:val="both"/>
            </w:pPr>
            <w:r>
              <w:rPr>
                <w:rFonts w:ascii="仿宋_GB2312" w:hAnsi="仿宋_GB2312" w:cs="仿宋_GB2312" w:eastAsia="仿宋_GB2312"/>
                <w:sz w:val="20"/>
              </w:rPr>
              <w:t>1.5.4.</w:t>
            </w:r>
            <w:r>
              <w:rPr>
                <w:rFonts w:ascii="仿宋_GB2312" w:hAnsi="仿宋_GB2312" w:cs="仿宋_GB2312" w:eastAsia="仿宋_GB2312"/>
                <w:sz w:val="20"/>
              </w:rPr>
              <w:t>针对女性常见营养不良症状（≥</w:t>
            </w:r>
            <w:r>
              <w:rPr>
                <w:rFonts w:ascii="仿宋_GB2312" w:hAnsi="仿宋_GB2312" w:cs="仿宋_GB2312" w:eastAsia="仿宋_GB2312"/>
                <w:sz w:val="20"/>
              </w:rPr>
              <w:t>8</w:t>
            </w:r>
            <w:r>
              <w:rPr>
                <w:rFonts w:ascii="仿宋_GB2312" w:hAnsi="仿宋_GB2312" w:cs="仿宋_GB2312" w:eastAsia="仿宋_GB2312"/>
                <w:sz w:val="20"/>
              </w:rPr>
              <w:t>种），进行个性化营养指导。</w:t>
            </w:r>
          </w:p>
          <w:p>
            <w:pPr>
              <w:pStyle w:val="null3"/>
              <w:jc w:val="both"/>
            </w:pPr>
            <w:r>
              <w:rPr>
                <w:rFonts w:ascii="仿宋_GB2312" w:hAnsi="仿宋_GB2312" w:cs="仿宋_GB2312" w:eastAsia="仿宋_GB2312"/>
                <w:sz w:val="20"/>
              </w:rPr>
              <w:t xml:space="preserve">1.6. </w:t>
            </w:r>
            <w:r>
              <w:rPr>
                <w:rFonts w:ascii="仿宋_GB2312" w:hAnsi="仿宋_GB2312" w:cs="仿宋_GB2312" w:eastAsia="仿宋_GB2312"/>
                <w:sz w:val="20"/>
              </w:rPr>
              <w:t>体重管理及控制目标：按照预先选择的国际</w:t>
            </w:r>
            <w:r>
              <w:rPr>
                <w:rFonts w:ascii="仿宋_GB2312" w:hAnsi="仿宋_GB2312" w:cs="仿宋_GB2312" w:eastAsia="仿宋_GB2312"/>
                <w:sz w:val="20"/>
              </w:rPr>
              <w:t>/</w:t>
            </w:r>
            <w:r>
              <w:rPr>
                <w:rFonts w:ascii="仿宋_GB2312" w:hAnsi="仿宋_GB2312" w:cs="仿宋_GB2312" w:eastAsia="仿宋_GB2312"/>
                <w:sz w:val="20"/>
              </w:rPr>
              <w:t>国内</w:t>
            </w:r>
            <w:r>
              <w:rPr>
                <w:rFonts w:ascii="仿宋_GB2312" w:hAnsi="仿宋_GB2312" w:cs="仿宋_GB2312" w:eastAsia="仿宋_GB2312"/>
                <w:sz w:val="20"/>
              </w:rPr>
              <w:t>2</w:t>
            </w:r>
            <w:r>
              <w:rPr>
                <w:rFonts w:ascii="仿宋_GB2312" w:hAnsi="仿宋_GB2312" w:cs="仿宋_GB2312" w:eastAsia="仿宋_GB2312"/>
                <w:sz w:val="20"/>
              </w:rPr>
              <w:t>种体重增长标准，依据孕前</w:t>
            </w:r>
            <w:r>
              <w:rPr>
                <w:rFonts w:ascii="仿宋_GB2312" w:hAnsi="仿宋_GB2312" w:cs="仿宋_GB2312" w:eastAsia="仿宋_GB2312"/>
                <w:sz w:val="20"/>
              </w:rPr>
              <w:t>BMI</w:t>
            </w:r>
            <w:r>
              <w:rPr>
                <w:rFonts w:ascii="仿宋_GB2312" w:hAnsi="仿宋_GB2312" w:cs="仿宋_GB2312" w:eastAsia="仿宋_GB2312"/>
                <w:sz w:val="20"/>
              </w:rPr>
              <w:t>，结合检测者的所处孕周个性化的出具孕期体重增长范围曲线，每周体重适宜增长范围，目前整体体重增长情况，给出不同时期体重增长建议</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提供女性体成分检测及能量代谢分析：可面向女性不同阶段，检测</w:t>
            </w:r>
            <w:r>
              <w:rPr>
                <w:rFonts w:ascii="仿宋_GB2312" w:hAnsi="仿宋_GB2312" w:cs="仿宋_GB2312" w:eastAsia="仿宋_GB2312"/>
                <w:sz w:val="20"/>
              </w:rPr>
              <w:t>43</w:t>
            </w:r>
            <w:r>
              <w:rPr>
                <w:rFonts w:ascii="仿宋_GB2312" w:hAnsi="仿宋_GB2312" w:cs="仿宋_GB2312" w:eastAsia="仿宋_GB2312"/>
                <w:sz w:val="20"/>
              </w:rPr>
              <w:t>≥种体成分数据，包括基础代谢率、细胞内水分、细胞外水分、总体水分、左</w:t>
            </w:r>
            <w:r>
              <w:rPr>
                <w:rFonts w:ascii="仿宋_GB2312" w:hAnsi="仿宋_GB2312" w:cs="仿宋_GB2312" w:eastAsia="仿宋_GB2312"/>
                <w:sz w:val="20"/>
              </w:rPr>
              <w:t>/</w:t>
            </w:r>
            <w:r>
              <w:rPr>
                <w:rFonts w:ascii="仿宋_GB2312" w:hAnsi="仿宋_GB2312" w:cs="仿宋_GB2312" w:eastAsia="仿宋_GB2312"/>
                <w:sz w:val="20"/>
              </w:rPr>
              <w:t>右上肢细胞外液率、左</w:t>
            </w:r>
            <w:r>
              <w:rPr>
                <w:rFonts w:ascii="仿宋_GB2312" w:hAnsi="仿宋_GB2312" w:cs="仿宋_GB2312" w:eastAsia="仿宋_GB2312"/>
                <w:sz w:val="20"/>
              </w:rPr>
              <w:t>/</w:t>
            </w:r>
            <w:r>
              <w:rPr>
                <w:rFonts w:ascii="仿宋_GB2312" w:hAnsi="仿宋_GB2312" w:cs="仿宋_GB2312" w:eastAsia="仿宋_GB2312"/>
                <w:sz w:val="20"/>
              </w:rPr>
              <w:t>右上肢细胞外水分率、左</w:t>
            </w:r>
            <w:r>
              <w:rPr>
                <w:rFonts w:ascii="仿宋_GB2312" w:hAnsi="仿宋_GB2312" w:cs="仿宋_GB2312" w:eastAsia="仿宋_GB2312"/>
                <w:sz w:val="20"/>
              </w:rPr>
              <w:t>/</w:t>
            </w:r>
            <w:r>
              <w:rPr>
                <w:rFonts w:ascii="仿宋_GB2312" w:hAnsi="仿宋_GB2312" w:cs="仿宋_GB2312" w:eastAsia="仿宋_GB2312"/>
                <w:sz w:val="20"/>
              </w:rPr>
              <w:t>右下肢细胞外液率、左</w:t>
            </w:r>
            <w:r>
              <w:rPr>
                <w:rFonts w:ascii="仿宋_GB2312" w:hAnsi="仿宋_GB2312" w:cs="仿宋_GB2312" w:eastAsia="仿宋_GB2312"/>
                <w:sz w:val="20"/>
              </w:rPr>
              <w:t>/</w:t>
            </w:r>
            <w:r>
              <w:rPr>
                <w:rFonts w:ascii="仿宋_GB2312" w:hAnsi="仿宋_GB2312" w:cs="仿宋_GB2312" w:eastAsia="仿宋_GB2312"/>
                <w:sz w:val="20"/>
              </w:rPr>
              <w:t>右下肢细胞外水分率、躯干细胞外液率、躯干细胞外水分率、蛋白质、肌肉量、无机盐、去脂体重、体脂肪、体脂百分比、腰臀比、</w:t>
            </w:r>
            <w:r>
              <w:rPr>
                <w:rFonts w:ascii="仿宋_GB2312" w:hAnsi="仿宋_GB2312" w:cs="仿宋_GB2312" w:eastAsia="仿宋_GB2312"/>
                <w:sz w:val="20"/>
              </w:rPr>
              <w:t>BMI</w:t>
            </w:r>
            <w:r>
              <w:rPr>
                <w:rFonts w:ascii="仿宋_GB2312" w:hAnsi="仿宋_GB2312" w:cs="仿宋_GB2312" w:eastAsia="仿宋_GB2312"/>
                <w:sz w:val="20"/>
              </w:rPr>
              <w:t>、体重、细胞量、骨骼肌、骨内矿物质含量、节段肌肉分析，节段脂肪分析，浮肿程度，内脏脂肪面积等；针对女性不同时期提供不同对照标准。</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膳食评价：</w:t>
            </w:r>
          </w:p>
          <w:p>
            <w:pPr>
              <w:pStyle w:val="null3"/>
              <w:jc w:val="both"/>
            </w:pPr>
            <w:r>
              <w:rPr>
                <w:rFonts w:ascii="仿宋_GB2312" w:hAnsi="仿宋_GB2312" w:cs="仿宋_GB2312" w:eastAsia="仿宋_GB2312"/>
                <w:sz w:val="20"/>
              </w:rPr>
              <w:t>1.8.1.</w:t>
            </w:r>
            <w:r>
              <w:rPr>
                <w:rFonts w:ascii="仿宋_GB2312" w:hAnsi="仿宋_GB2312" w:cs="仿宋_GB2312" w:eastAsia="仿宋_GB2312"/>
                <w:sz w:val="20"/>
              </w:rPr>
              <w:t>可针对膳食回顾法、人工智能图像识别结果扫描法进行营养膳食分析</w:t>
            </w:r>
          </w:p>
          <w:p>
            <w:pPr>
              <w:pStyle w:val="null3"/>
              <w:jc w:val="both"/>
            </w:pPr>
            <w:r>
              <w:rPr>
                <w:rFonts w:ascii="仿宋_GB2312" w:hAnsi="仿宋_GB2312" w:cs="仿宋_GB2312" w:eastAsia="仿宋_GB2312"/>
                <w:sz w:val="20"/>
              </w:rPr>
              <w:t>1.8.2.</w:t>
            </w:r>
            <w:r>
              <w:rPr>
                <w:rFonts w:ascii="仿宋_GB2312" w:hAnsi="仿宋_GB2312" w:cs="仿宋_GB2312" w:eastAsia="仿宋_GB2312"/>
                <w:sz w:val="20"/>
              </w:rPr>
              <w:t>分析结果包含：膳食</w:t>
            </w:r>
            <w:r>
              <w:rPr>
                <w:rFonts w:ascii="仿宋_GB2312" w:hAnsi="仿宋_GB2312" w:cs="仿宋_GB2312" w:eastAsia="仿宋_GB2312"/>
                <w:sz w:val="20"/>
              </w:rPr>
              <w:t>6</w:t>
            </w:r>
            <w:r>
              <w:rPr>
                <w:rFonts w:ascii="仿宋_GB2312" w:hAnsi="仿宋_GB2312" w:cs="仿宋_GB2312" w:eastAsia="仿宋_GB2312"/>
                <w:sz w:val="20"/>
              </w:rPr>
              <w:t>餐次能量供能比分析评价，营养素摄入情况分析评价≥</w:t>
            </w:r>
            <w:r>
              <w:rPr>
                <w:rFonts w:ascii="仿宋_GB2312" w:hAnsi="仿宋_GB2312" w:cs="仿宋_GB2312" w:eastAsia="仿宋_GB2312"/>
                <w:sz w:val="20"/>
              </w:rPr>
              <w:t>24</w:t>
            </w:r>
            <w:r>
              <w:rPr>
                <w:rFonts w:ascii="仿宋_GB2312" w:hAnsi="仿宋_GB2312" w:cs="仿宋_GB2312" w:eastAsia="仿宋_GB2312"/>
                <w:sz w:val="20"/>
              </w:rPr>
              <w:t>种；膳食食物种类摄入评价≥</w:t>
            </w:r>
            <w:r>
              <w:rPr>
                <w:rFonts w:ascii="仿宋_GB2312" w:hAnsi="仿宋_GB2312" w:cs="仿宋_GB2312" w:eastAsia="仿宋_GB2312"/>
                <w:sz w:val="20"/>
              </w:rPr>
              <w:t>10</w:t>
            </w:r>
            <w:r>
              <w:rPr>
                <w:rFonts w:ascii="仿宋_GB2312" w:hAnsi="仿宋_GB2312" w:cs="仿宋_GB2312" w:eastAsia="仿宋_GB2312"/>
                <w:sz w:val="20"/>
              </w:rPr>
              <w:t>种</w:t>
            </w:r>
          </w:p>
          <w:p>
            <w:pPr>
              <w:pStyle w:val="null3"/>
              <w:jc w:val="both"/>
            </w:pPr>
            <w:r>
              <w:rPr>
                <w:rFonts w:ascii="仿宋_GB2312" w:hAnsi="仿宋_GB2312" w:cs="仿宋_GB2312" w:eastAsia="仿宋_GB2312"/>
                <w:sz w:val="20"/>
              </w:rPr>
              <w:t>1.8.3.</w:t>
            </w:r>
            <w:r>
              <w:rPr>
                <w:rFonts w:ascii="仿宋_GB2312" w:hAnsi="仿宋_GB2312" w:cs="仿宋_GB2312" w:eastAsia="仿宋_GB2312"/>
                <w:sz w:val="20"/>
              </w:rPr>
              <w:t>营养评价：提供不同人群的营养素推荐摄入量、参考范围及评价结果。</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个性化智能营养方案：结合女性的体质情况、营养状况、疾病状况、地域特色等围度，综合出具智能营养解决方案。</w:t>
            </w:r>
          </w:p>
          <w:p>
            <w:pPr>
              <w:pStyle w:val="null3"/>
              <w:jc w:val="both"/>
            </w:pPr>
            <w:r>
              <w:rPr>
                <w:rFonts w:ascii="仿宋_GB2312" w:hAnsi="仿宋_GB2312" w:cs="仿宋_GB2312" w:eastAsia="仿宋_GB2312"/>
                <w:sz w:val="20"/>
              </w:rPr>
              <w:t>1.9.1.</w:t>
            </w:r>
            <w:r>
              <w:rPr>
                <w:rFonts w:ascii="仿宋_GB2312" w:hAnsi="仿宋_GB2312" w:cs="仿宋_GB2312" w:eastAsia="仿宋_GB2312"/>
                <w:sz w:val="20"/>
              </w:rPr>
              <w:t>食物交换份法：针对不同情况出具不同食物交换份食谱，将食物分为五大类，提供每种食物之间交换原则及份数指导。</w:t>
            </w:r>
          </w:p>
          <w:p>
            <w:pPr>
              <w:pStyle w:val="null3"/>
              <w:jc w:val="both"/>
            </w:pPr>
            <w:r>
              <w:rPr>
                <w:rFonts w:ascii="仿宋_GB2312" w:hAnsi="仿宋_GB2312" w:cs="仿宋_GB2312" w:eastAsia="仿宋_GB2312"/>
                <w:sz w:val="20"/>
              </w:rPr>
              <w:t>1.9.2.</w:t>
            </w:r>
            <w:r>
              <w:rPr>
                <w:rFonts w:ascii="仿宋_GB2312" w:hAnsi="仿宋_GB2312" w:cs="仿宋_GB2312" w:eastAsia="仿宋_GB2312"/>
                <w:sz w:val="20"/>
              </w:rPr>
              <w:t>个性化带量食谱：综合女性不同时期及身体状况，智能推荐个性化</w:t>
            </w:r>
            <w:r>
              <w:rPr>
                <w:rFonts w:ascii="仿宋_GB2312" w:hAnsi="仿宋_GB2312" w:cs="仿宋_GB2312" w:eastAsia="仿宋_GB2312"/>
                <w:sz w:val="20"/>
              </w:rPr>
              <w:t>1/3/7</w:t>
            </w:r>
            <w:r>
              <w:rPr>
                <w:rFonts w:ascii="仿宋_GB2312" w:hAnsi="仿宋_GB2312" w:cs="仿宋_GB2312" w:eastAsia="仿宋_GB2312"/>
                <w:sz w:val="20"/>
              </w:rPr>
              <w:t>日六餐带量食谱，包括具体菜品名称及食材克重。</w:t>
            </w:r>
          </w:p>
          <w:p>
            <w:pPr>
              <w:pStyle w:val="null3"/>
              <w:jc w:val="both"/>
            </w:pPr>
            <w:r>
              <w:rPr>
                <w:rFonts w:ascii="仿宋_GB2312" w:hAnsi="仿宋_GB2312" w:cs="仿宋_GB2312" w:eastAsia="仿宋_GB2312"/>
                <w:sz w:val="20"/>
              </w:rPr>
              <w:t>1.9.3.</w:t>
            </w:r>
            <w:r>
              <w:rPr>
                <w:rFonts w:ascii="仿宋_GB2312" w:hAnsi="仿宋_GB2312" w:cs="仿宋_GB2312" w:eastAsia="仿宋_GB2312"/>
                <w:sz w:val="20"/>
              </w:rPr>
              <w:t>手掌估量指导：提供简单、直观、易操作的手掌估量饮食指导方法。</w:t>
            </w:r>
          </w:p>
          <w:p>
            <w:pPr>
              <w:pStyle w:val="null3"/>
              <w:jc w:val="both"/>
            </w:pPr>
            <w:r>
              <w:rPr>
                <w:rFonts w:ascii="仿宋_GB2312" w:hAnsi="仿宋_GB2312" w:cs="仿宋_GB2312" w:eastAsia="仿宋_GB2312"/>
                <w:sz w:val="20"/>
              </w:rPr>
              <w:t>1.9.4.</w:t>
            </w:r>
            <w:r>
              <w:rPr>
                <w:rFonts w:ascii="仿宋_GB2312" w:hAnsi="仿宋_GB2312" w:cs="仿宋_GB2312" w:eastAsia="仿宋_GB2312"/>
                <w:sz w:val="20"/>
              </w:rPr>
              <w:t>智能个性化运动处方及减重方案：基于女性不同时期及身体状况智能出具个性化运动处方及减重方案；包含运动频率、运动强度、运动时间、运动方式、注意事项及运动禁忌等；</w:t>
            </w:r>
          </w:p>
          <w:p>
            <w:pPr>
              <w:pStyle w:val="null3"/>
              <w:jc w:val="both"/>
            </w:pPr>
            <w:r>
              <w:rPr>
                <w:rFonts w:ascii="仿宋_GB2312" w:hAnsi="仿宋_GB2312" w:cs="仿宋_GB2312" w:eastAsia="仿宋_GB2312"/>
                <w:sz w:val="20"/>
              </w:rPr>
              <w:t>1.10.</w:t>
            </w:r>
            <w:r>
              <w:rPr>
                <w:rFonts w:ascii="仿宋_GB2312" w:hAnsi="仿宋_GB2312" w:cs="仿宋_GB2312" w:eastAsia="仿宋_GB2312"/>
                <w:sz w:val="20"/>
              </w:rPr>
              <w:t>妊娠结局统计：针对妊娠结局的体重增长、血糖指标、胎儿大小、运动量、转诊、并发症（疾病）、分娩情况进行统计。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儿童营养管理系统技术要求：</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提供儿童体成分检测及能量代谢分析</w:t>
            </w:r>
          </w:p>
          <w:p>
            <w:pPr>
              <w:pStyle w:val="null3"/>
              <w:jc w:val="both"/>
            </w:pPr>
            <w:r>
              <w:rPr>
                <w:rFonts w:ascii="仿宋_GB2312" w:hAnsi="仿宋_GB2312" w:cs="仿宋_GB2312" w:eastAsia="仿宋_GB2312"/>
                <w:sz w:val="20"/>
              </w:rPr>
              <w:t>2.1.1.</w:t>
            </w:r>
            <w:r>
              <w:rPr>
                <w:rFonts w:ascii="仿宋_GB2312" w:hAnsi="仿宋_GB2312" w:cs="仿宋_GB2312" w:eastAsia="仿宋_GB2312"/>
                <w:sz w:val="20"/>
              </w:rPr>
              <w:t>身高、体重、细胞内、外水分，蛋白质，无机盐，体脂肪，身体总水分</w:t>
            </w:r>
            <w:r>
              <w:rPr>
                <w:rFonts w:ascii="仿宋_GB2312" w:hAnsi="仿宋_GB2312" w:cs="仿宋_GB2312" w:eastAsia="仿宋_GB2312"/>
                <w:sz w:val="20"/>
              </w:rPr>
              <w:t>(TBW)</w:t>
            </w:r>
            <w:r>
              <w:rPr>
                <w:rFonts w:ascii="仿宋_GB2312" w:hAnsi="仿宋_GB2312" w:cs="仿宋_GB2312" w:eastAsia="仿宋_GB2312"/>
                <w:sz w:val="20"/>
              </w:rPr>
              <w:t>、肌肉量，去脂体重，体重，</w:t>
            </w:r>
            <w:r>
              <w:rPr>
                <w:rFonts w:ascii="仿宋_GB2312" w:hAnsi="仿宋_GB2312" w:cs="仿宋_GB2312" w:eastAsia="仿宋_GB2312"/>
                <w:sz w:val="20"/>
              </w:rPr>
              <w:t>BMI</w:t>
            </w:r>
            <w:r>
              <w:rPr>
                <w:rFonts w:ascii="仿宋_GB2312" w:hAnsi="仿宋_GB2312" w:cs="仿宋_GB2312" w:eastAsia="仿宋_GB2312"/>
                <w:sz w:val="20"/>
              </w:rPr>
              <w:t>，体脂 百分比，腰臀比（</w:t>
            </w:r>
            <w:r>
              <w:rPr>
                <w:rFonts w:ascii="仿宋_GB2312" w:hAnsi="仿宋_GB2312" w:cs="仿宋_GB2312" w:eastAsia="仿宋_GB2312"/>
                <w:sz w:val="20"/>
              </w:rPr>
              <w:t>WHR)</w:t>
            </w:r>
            <w:r>
              <w:rPr>
                <w:rFonts w:ascii="仿宋_GB2312" w:hAnsi="仿宋_GB2312" w:cs="仿宋_GB2312" w:eastAsia="仿宋_GB2312"/>
                <w:sz w:val="20"/>
              </w:rPr>
              <w:t>，基础代谢，节段性肌肉分析，节段性脂肪分析，浮肿指数（</w:t>
            </w:r>
            <w:r>
              <w:rPr>
                <w:rFonts w:ascii="仿宋_GB2312" w:hAnsi="仿宋_GB2312" w:cs="仿宋_GB2312" w:eastAsia="仿宋_GB2312"/>
                <w:sz w:val="20"/>
              </w:rPr>
              <w:t>ECF/TBF,ECW/TBW</w:t>
            </w:r>
            <w:r>
              <w:rPr>
                <w:rFonts w:ascii="仿宋_GB2312" w:hAnsi="仿宋_GB2312" w:cs="仿宋_GB2312" w:eastAsia="仿宋_GB2312"/>
                <w:sz w:val="20"/>
              </w:rPr>
              <w:t>）（全身和节段性浮肿指数），内脏脂肪分析，肥胖度（</w:t>
            </w:r>
            <w:r>
              <w:rPr>
                <w:rFonts w:ascii="仿宋_GB2312" w:hAnsi="仿宋_GB2312" w:cs="仿宋_GB2312" w:eastAsia="仿宋_GB2312"/>
                <w:sz w:val="20"/>
              </w:rPr>
              <w:t>OD</w:t>
            </w:r>
            <w:r>
              <w:rPr>
                <w:rFonts w:ascii="仿宋_GB2312" w:hAnsi="仿宋_GB2312" w:cs="仿宋_GB2312" w:eastAsia="仿宋_GB2312"/>
                <w:sz w:val="20"/>
              </w:rPr>
              <w:t>）、儿童身高成长曲线，儿童体重成长曲线、儿童头围成长曲线、营养评估（蛋白质，无机盐，体脂肪）、肥胖分析（</w:t>
            </w:r>
            <w:r>
              <w:rPr>
                <w:rFonts w:ascii="仿宋_GB2312" w:hAnsi="仿宋_GB2312" w:cs="仿宋_GB2312" w:eastAsia="仿宋_GB2312"/>
                <w:sz w:val="20"/>
              </w:rPr>
              <w:t>BMI</w:t>
            </w:r>
            <w:r>
              <w:rPr>
                <w:rFonts w:ascii="仿宋_GB2312" w:hAnsi="仿宋_GB2312" w:cs="仿宋_GB2312" w:eastAsia="仿宋_GB2312"/>
                <w:sz w:val="20"/>
              </w:rPr>
              <w:t>、体脂百分比、腰臀比）、体重管理（体重、肌肉量、体脂肪）、体重控制（目标体重、体重控制、脂肪控制、肌肉控制）、健康评估（分）、历史数据变化曲线图；</w:t>
            </w:r>
          </w:p>
          <w:p>
            <w:pPr>
              <w:pStyle w:val="null3"/>
              <w:jc w:val="both"/>
            </w:pPr>
            <w:r>
              <w:rPr>
                <w:rFonts w:ascii="仿宋_GB2312" w:hAnsi="仿宋_GB2312" w:cs="仿宋_GB2312" w:eastAsia="仿宋_GB2312"/>
                <w:sz w:val="20"/>
              </w:rPr>
              <w:t>2.1.2.</w:t>
            </w:r>
            <w:r>
              <w:rPr>
                <w:rFonts w:ascii="仿宋_GB2312" w:hAnsi="仿宋_GB2312" w:cs="仿宋_GB2312" w:eastAsia="仿宋_GB2312"/>
                <w:sz w:val="20"/>
              </w:rPr>
              <w:t>体型判定：脂肪超标、肥胖、标准型、低肌肉、低脂肪、肌肉正常、肌肉发达；</w:t>
            </w:r>
          </w:p>
          <w:p>
            <w:pPr>
              <w:pStyle w:val="null3"/>
              <w:jc w:val="both"/>
            </w:pPr>
            <w:r>
              <w:rPr>
                <w:rFonts w:ascii="仿宋_GB2312" w:hAnsi="仿宋_GB2312" w:cs="仿宋_GB2312" w:eastAsia="仿宋_GB2312"/>
                <w:sz w:val="20"/>
              </w:rPr>
              <w:t>2.1.3.</w:t>
            </w:r>
            <w:r>
              <w:rPr>
                <w:rFonts w:ascii="仿宋_GB2312" w:hAnsi="仿宋_GB2312" w:cs="仿宋_GB2312" w:eastAsia="仿宋_GB2312"/>
                <w:sz w:val="20"/>
              </w:rPr>
              <w:t>针对儿童不同时期提供不同对照标准。</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个性化营养干预方案</w:t>
            </w:r>
          </w:p>
          <w:p>
            <w:pPr>
              <w:pStyle w:val="null3"/>
              <w:jc w:val="both"/>
            </w:pPr>
            <w:r>
              <w:rPr>
                <w:rFonts w:ascii="仿宋_GB2312" w:hAnsi="仿宋_GB2312" w:cs="仿宋_GB2312" w:eastAsia="仿宋_GB2312"/>
                <w:sz w:val="20"/>
              </w:rPr>
              <w:t>2.2.1.</w:t>
            </w:r>
            <w:r>
              <w:rPr>
                <w:rFonts w:ascii="仿宋_GB2312" w:hAnsi="仿宋_GB2312" w:cs="仿宋_GB2312" w:eastAsia="仿宋_GB2312"/>
                <w:sz w:val="20"/>
              </w:rPr>
              <w:t>个性化带量食谱：综合儿童基本信息、主诉症状、体格评价信息、饮食习惯、地域等，智能推荐适合儿童生长发育健康的</w:t>
            </w:r>
            <w:r>
              <w:rPr>
                <w:rFonts w:ascii="仿宋_GB2312" w:hAnsi="仿宋_GB2312" w:cs="仿宋_GB2312" w:eastAsia="仿宋_GB2312"/>
                <w:sz w:val="20"/>
              </w:rPr>
              <w:t>1</w:t>
            </w:r>
            <w:r>
              <w:rPr>
                <w:rFonts w:ascii="仿宋_GB2312" w:hAnsi="仿宋_GB2312" w:cs="仿宋_GB2312" w:eastAsia="仿宋_GB2312"/>
                <w:sz w:val="20"/>
              </w:rPr>
              <w:t>日</w:t>
            </w:r>
            <w:r>
              <w:rPr>
                <w:rFonts w:ascii="仿宋_GB2312" w:hAnsi="仿宋_GB2312" w:cs="仿宋_GB2312" w:eastAsia="仿宋_GB2312"/>
                <w:sz w:val="20"/>
              </w:rPr>
              <w:t>/3</w:t>
            </w:r>
            <w:r>
              <w:rPr>
                <w:rFonts w:ascii="仿宋_GB2312" w:hAnsi="仿宋_GB2312" w:cs="仿宋_GB2312" w:eastAsia="仿宋_GB2312"/>
                <w:sz w:val="20"/>
              </w:rPr>
              <w:t>日</w:t>
            </w:r>
            <w:r>
              <w:rPr>
                <w:rFonts w:ascii="仿宋_GB2312" w:hAnsi="仿宋_GB2312" w:cs="仿宋_GB2312" w:eastAsia="仿宋_GB2312"/>
                <w:sz w:val="20"/>
              </w:rPr>
              <w:t>/7</w:t>
            </w:r>
            <w:r>
              <w:rPr>
                <w:rFonts w:ascii="仿宋_GB2312" w:hAnsi="仿宋_GB2312" w:cs="仿宋_GB2312" w:eastAsia="仿宋_GB2312"/>
                <w:sz w:val="20"/>
              </w:rPr>
              <w:t>日个性化带量食谱；</w:t>
            </w:r>
          </w:p>
          <w:p>
            <w:pPr>
              <w:pStyle w:val="null3"/>
              <w:jc w:val="both"/>
            </w:pPr>
            <w:r>
              <w:rPr>
                <w:rFonts w:ascii="仿宋_GB2312" w:hAnsi="仿宋_GB2312" w:cs="仿宋_GB2312" w:eastAsia="仿宋_GB2312"/>
                <w:sz w:val="20"/>
              </w:rPr>
              <w:t>2.2.2.</w:t>
            </w:r>
            <w:r>
              <w:rPr>
                <w:rFonts w:ascii="仿宋_GB2312" w:hAnsi="仿宋_GB2312" w:cs="仿宋_GB2312" w:eastAsia="仿宋_GB2312"/>
                <w:sz w:val="20"/>
              </w:rPr>
              <w:t>智能个性化运动处方及减重方案：基于儿童不同时期及身体状况智能出具个性化运动处方及减重方案；包含运动项目、运动频率及运动时间等；</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用户管理模块——档案管理；档案查询</w:t>
            </w:r>
          </w:p>
          <w:p>
            <w:pPr>
              <w:pStyle w:val="null3"/>
              <w:jc w:val="both"/>
            </w:pPr>
            <w:r>
              <w:rPr>
                <w:rFonts w:ascii="仿宋_GB2312" w:hAnsi="仿宋_GB2312" w:cs="仿宋_GB2312" w:eastAsia="仿宋_GB2312"/>
                <w:sz w:val="20"/>
              </w:rPr>
              <w:t>2.3.1.</w:t>
            </w:r>
            <w:r>
              <w:rPr>
                <w:rFonts w:ascii="仿宋_GB2312" w:hAnsi="仿宋_GB2312" w:cs="仿宋_GB2312" w:eastAsia="仿宋_GB2312"/>
                <w:sz w:val="20"/>
              </w:rPr>
              <w:t>健康档案建立：可录入</w:t>
            </w:r>
            <w:r>
              <w:rPr>
                <w:rFonts w:ascii="仿宋_GB2312" w:hAnsi="仿宋_GB2312" w:cs="仿宋_GB2312" w:eastAsia="仿宋_GB2312"/>
                <w:sz w:val="20"/>
              </w:rPr>
              <w:t>ID</w:t>
            </w:r>
            <w:r>
              <w:rPr>
                <w:rFonts w:ascii="仿宋_GB2312" w:hAnsi="仿宋_GB2312" w:cs="仿宋_GB2312" w:eastAsia="仿宋_GB2312"/>
                <w:sz w:val="20"/>
              </w:rPr>
              <w:t>号、病历号、姓名、性别、出生日期、年龄、饮食习惯、是否早产、预产期、喂养方式、过敏信息、运动情况以及身高、体重、头围、</w:t>
            </w:r>
            <w:r>
              <w:rPr>
                <w:rFonts w:ascii="仿宋_GB2312" w:hAnsi="仿宋_GB2312" w:cs="仿宋_GB2312" w:eastAsia="仿宋_GB2312"/>
                <w:sz w:val="20"/>
              </w:rPr>
              <w:t>BMI</w:t>
            </w:r>
            <w:r>
              <w:rPr>
                <w:rFonts w:ascii="仿宋_GB2312" w:hAnsi="仿宋_GB2312" w:cs="仿宋_GB2312" w:eastAsia="仿宋_GB2312"/>
                <w:sz w:val="20"/>
              </w:rPr>
              <w:t>、腰围等体格信息，建立个性化儿童营养档案。</w:t>
            </w:r>
          </w:p>
          <w:p>
            <w:pPr>
              <w:pStyle w:val="null3"/>
              <w:jc w:val="both"/>
            </w:pPr>
            <w:r>
              <w:rPr>
                <w:rFonts w:ascii="仿宋_GB2312" w:hAnsi="仿宋_GB2312" w:cs="仿宋_GB2312" w:eastAsia="仿宋_GB2312"/>
                <w:sz w:val="20"/>
              </w:rPr>
              <w:t>2.3.2.</w:t>
            </w:r>
            <w:r>
              <w:rPr>
                <w:rFonts w:ascii="仿宋_GB2312" w:hAnsi="仿宋_GB2312" w:cs="仿宋_GB2312" w:eastAsia="仿宋_GB2312"/>
                <w:sz w:val="20"/>
              </w:rPr>
              <w:t>档案查询：可基于</w:t>
            </w:r>
            <w:r>
              <w:rPr>
                <w:rFonts w:ascii="仿宋_GB2312" w:hAnsi="仿宋_GB2312" w:cs="仿宋_GB2312" w:eastAsia="仿宋_GB2312"/>
                <w:sz w:val="20"/>
              </w:rPr>
              <w:t>ID</w:t>
            </w:r>
            <w:r>
              <w:rPr>
                <w:rFonts w:ascii="仿宋_GB2312" w:hAnsi="仿宋_GB2312" w:cs="仿宋_GB2312" w:eastAsia="仿宋_GB2312"/>
                <w:sz w:val="20"/>
              </w:rPr>
              <w:t>、手机号码、姓名、就诊时间进行营养病例检索。</w:t>
            </w:r>
          </w:p>
          <w:p>
            <w:pPr>
              <w:pStyle w:val="null3"/>
              <w:jc w:val="both"/>
            </w:pPr>
            <w:r>
              <w:rPr>
                <w:rFonts w:ascii="仿宋_GB2312" w:hAnsi="仿宋_GB2312" w:cs="仿宋_GB2312" w:eastAsia="仿宋_GB2312"/>
                <w:sz w:val="20"/>
              </w:rPr>
              <w:t>2.3.3.</w:t>
            </w:r>
            <w:r>
              <w:rPr>
                <w:rFonts w:ascii="仿宋_GB2312" w:hAnsi="仿宋_GB2312" w:cs="仿宋_GB2312" w:eastAsia="仿宋_GB2312"/>
                <w:sz w:val="20"/>
              </w:rPr>
              <w:t>营养档案：支持查询检测结果查询，包含：主诉、生长发育曲线、营养诊断、膳食分析结果、运动分析结果、实验室检测生化指标、营养干预方案、营养处方笺、生活方式指导及运动处方等。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签订合同后30个日历日内交付。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（一）验收：（1）现场验收：设备及其备附件到达采购人指定地点后，采购人根据合同要求，在成交供应商和采购人双方同时在场的情况下，进行外观验收，确认产地、规格、型号和数量。 （2）安装调试：成交供应商应配合采购人的工期要求，负责在现场对设备进行安装、调试和试运行，直至验收合格。成交供应商应提供全部安装、调试过程中所需的材料、设施设备、人工等。 （3）成交供应商应向采购人提交项目实施过程中的所有资料，以便采购人日后管理和维护。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（1）从验收合格之日起开始计算，整机保修时间≥1年； （2）出具售后服务承诺书，报修后及时修理，不超过24小时；（3）质保期内凡本项目所涉及的产品在正常使用中出现的故障，均由成交供应商负责提供免费检测维修、更换，更换的零部件应保证自更换之日起提供相同的质量保证期； （4）具有完整的售后服务响应体系：1小时内响应，2小时内到达现场，专业的技术服务售后服务人员（提供人员资质证明）；（5）保修期内反复维修仍不能排除故障的，由供货商换货； （6）质量保证期过后，硬件更换仅收取成本费用。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1.供应商在投标时提供投标产品的宣传彩页（企业官方印刷，含产品真实彩色图片）； 2.提供投标产品标识内容（生产厂家、注册证号、型号规格、标准号、产品编号或系列号）； 3.合同总价包括：设备供应价、运杂费（含保险）、安装调试费、培训费、及其它相关费用。 4.培训要求：供应商应提供现场技术培训，保证使用人员正确操作设备； 5.交付需提供速查卡、保修卡、验收单、货品清单、合格证、说明书； 6.温馨提示：为顺利推进政府采购电子化交易平台应用工作，供应商需要在线提交所有通过电子化交易平台实施的政府采购项目的响应文件，同时线下提交纸质响应文件正本壹份、副本贰份。 纸质响应文件正副本分别胶装，标明供应商名称密封递交，递交截止时间同在线递交电子响应文件截止时间一致。 若电子响应文件与纸质响应文件不一致的，以电子响应文件为准；若正本和副本不符，以正本为准。 线下递交文件时间：开标截止时间后两个工作日之内。线下递交文件地点：西安市雁塔区朱雀大街南段69号长丰园三区5号楼9层。 纸质响应文件可邮寄，开标后两个工作日内，以签收时间为准。（联系人：李工；联系电话：029-85578186-819；邮寄地址：西安市雁塔区朱雀大街南段69号长丰园三区5号楼9层。）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企业法人具有有效的营业执照（具备统一社会信用代码）；事业法人应具有有效的事业单位法人证；其他组织应具有合法证明文件；自然人应提供有效的自然人身份证明。并进行电子签章。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制造商的需提供《医疗器械生产许可证》及所投产品的《医疗器械注册证》;供应商为代理商的需提供《医疗器械经营许可证》和制造商的《医疗器械生产许可证及所投产品的《医疗器械注册证》。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法定代表人（负责人）授权委托书身份证明/法定代表人（负责人）授权委托书</w:t>
            </w:r>
          </w:p>
        </w:tc>
        <w:tc>
          <w:tcPr>
            <w:tcW w:type="dxa" w:w="3322"/>
          </w:tcPr>
          <w:p>
            <w:pPr>
              <w:pStyle w:val="null3"/>
            </w:pPr>
            <w:r>
              <w:rPr>
                <w:rFonts w:ascii="仿宋_GB2312" w:hAnsi="仿宋_GB2312" w:cs="仿宋_GB2312" w:eastAsia="仿宋_GB2312"/>
              </w:rPr>
              <w:t>供应商代表应提供法定代表人（负责人）授权委托书（附法定代表人（负责人）及被授权人身份证复印件或扫描件），法定代表人（负责人）直接参加须提供法定代表人（负责人）授权委托书身份证明书及身份证复印件或扫描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成立时间至提交响应文件截止时间不足一年的单位，可提供成立后任意时间段的资产负债表、利润表、现金流量表）或其基本存款账户开户银行出具的本年度资信证明（附开户许可证或基本存款账户信息）。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提供2024年12月1日至投标截止日已缴纳任意一个月纳税证明或完税证明，依法免税的单位应提供相关证明材料；并进行电子签章。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提供2024年12月1日至投标截止日任意一个月的社会保障资金缴存单据或社保机构开具的社会保险参保缴费情况证明，依法不需要缴纳社会保障资金的单位应提供相关证明材料；并进行电子签章。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投标人应具有履行合同所必需的设备和专业技术能力</w:t>
            </w:r>
          </w:p>
        </w:tc>
        <w:tc>
          <w:tcPr>
            <w:tcW w:type="dxa" w:w="3322"/>
          </w:tcPr>
          <w:p>
            <w:pPr>
              <w:pStyle w:val="null3"/>
            </w:pPr>
            <w:r>
              <w:rPr>
                <w:rFonts w:ascii="仿宋_GB2312" w:hAnsi="仿宋_GB2312" w:cs="仿宋_GB2312" w:eastAsia="仿宋_GB2312"/>
              </w:rPr>
              <w:t>提供具备履行合同所必需的设备和专业技术能力的证明材料承诺；并进行电子签章。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信用中国查询</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本项目专门面向中小企业采购，供应商须为中小企业，并提供声明函；并进行电子签章。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本项目不接受联合体投标；并进行电子签章。</w:t>
            </w:r>
          </w:p>
        </w:tc>
        <w:tc>
          <w:tcPr>
            <w:tcW w:type="dxa" w:w="1661"/>
          </w:tcPr>
          <w:p>
            <w:pPr>
              <w:pStyle w:val="null3"/>
            </w:pPr>
            <w:r>
              <w:rPr>
                <w:rFonts w:ascii="仿宋_GB2312" w:hAnsi="仿宋_GB2312" w:cs="仿宋_GB2312" w:eastAsia="仿宋_GB2312"/>
              </w:rPr>
              <w:t>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供应商应当加盖投标人（法定名称）电子印章</w:t>
            </w:r>
          </w:p>
        </w:tc>
        <w:tc>
          <w:tcPr>
            <w:tcW w:type="dxa" w:w="1661"/>
          </w:tcPr>
          <w:p>
            <w:pPr>
              <w:pStyle w:val="null3"/>
            </w:pPr>
            <w:r>
              <w:rPr>
                <w:rFonts w:ascii="仿宋_GB2312" w:hAnsi="仿宋_GB2312" w:cs="仿宋_GB2312" w:eastAsia="仿宋_GB2312"/>
              </w:rPr>
              <w:t>开标一览表 产品技术参数表 技术要求（货物）.docx 投标函 中小企业声明函 残疾人福利性单位声明函 商务应答表 标的清单 投标文件封面 相关资格证明材料.docx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供应商必须满足招标文件的商务要求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投标报价是否唯一有效的或投标报价是否超过采购预算</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未按照招标文件要求等其他情形</w:t>
            </w:r>
          </w:p>
        </w:tc>
        <w:tc>
          <w:tcPr>
            <w:tcW w:type="dxa" w:w="1661"/>
          </w:tcPr>
          <w:p>
            <w:pPr>
              <w:pStyle w:val="null3"/>
            </w:pPr>
            <w:r>
              <w:rPr>
                <w:rFonts w:ascii="仿宋_GB2312" w:hAnsi="仿宋_GB2312" w:cs="仿宋_GB2312" w:eastAsia="仿宋_GB2312"/>
              </w:rPr>
              <w:t>开标一览表 产品技术参数表 技术要求（货物）.docx 投标函 中小企业声明函 残疾人福利性单位声明函 商务应答表 标的清单 投标文件封面 相关资格证明材料.docx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产品的规格、技术指标等描述清楚明确，技术整体指标符合招标文件要求及相关国家标准和行业标准，提供证明材料完全可以支撑所用设备参数性能的计20-29分，证明材料基本可以支撑设备参数性能的计10-19分，证明材料只能支撑部分设备参数性能的计1-9分。 备注：提供证明材料（不限于检验报告、产品彩页、厂商资质、官网功能截图、加盖授权厂家公章的技术参数确认函等），予以证明参数的技术响应性，若有提供虚假参数及材料应标的，经查实将按照有关法律规定进行严肃处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认定为政府采购节能产品或者政府采购环境标志产品的得1分，最多得2分。（强制要求采购节能产品的除外）注：投标产品属于节能环保政府采购品目清单内产品的，提供国家确定的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所投设备的技术先进性、可靠性、安全性高，稳定性好，功能完善、货物与部件的制造技术、生产工艺达到行业内高水平、高质量标准，得5-7分； 所投设备的在同类中技术成熟度一般，设备安全性、可靠性、稳定性一般，部件的制造技术、工艺等方面一般的，得3-4分； 所投设备在同类中技术先进性、可靠性、安全性、稳定性差，货物及部件的制造技术、生产工艺等方面差的，得1-2分； 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提供产品的测试、安装调试、验收的具体实施方案： 实施方案详细具体，阐述全面的、可操作性强的，得6-9分。 实施方案较详细,阐述一般,可操作性一般的,得3-5分。 实施方案内容不明确，可操作性差的，1-2分。 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合法供货证明</w:t>
            </w:r>
          </w:p>
        </w:tc>
        <w:tc>
          <w:tcPr>
            <w:tcW w:type="dxa" w:w="2492"/>
          </w:tcPr>
          <w:p>
            <w:pPr>
              <w:pStyle w:val="null3"/>
            </w:pPr>
            <w:r>
              <w:rPr>
                <w:rFonts w:ascii="仿宋_GB2312" w:hAnsi="仿宋_GB2312" w:cs="仿宋_GB2312" w:eastAsia="仿宋_GB2312"/>
              </w:rPr>
              <w:t>所投货物（产品）货源渠道正常，并能够提供货物（产品）质量的相关证明资料。确保供应的货物（产品）为100%全新正品，无假货、水货、翻新货且无产权纠纷，提供所投货物（产品）的合法来源渠道证明文件（包括但不限于销售协议、代理协议、原厂授权等）相关证明材料（复印件加盖公章），资料齐全得5分；资料有缺失得3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供应商提供2022年至今同类的业绩（业绩以完整合同复印件为准）。每提供1份类似业绩合同得1分，不重复计分，满分3分。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（1）提供相关售后服务方案（包括但不限于响应时间承诺、服务保障力度、质保期、维护保养、相关技术支持等）： 方案科学合理，内容全面，详细具体，可行性高的，得4-6分； 方案内容较全面，可行性一般的，得2-4分； 方案内容不明确、可行性差的，得0-2分； （2）提供售后服务质保期每增加一年的，得2分，最高4分。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提供培训方案，包括内容、人员、对象、地点等，保证采购人能够安全、正常熟练的操作:培训方案详细具体,内容全面,切实可行的,得 3-5 分。培训方案较明确,内容一般,可行一般的,得 1-3 分。培训方案不明确,可行性差的,得 1分。不提供的，得0分。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 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详见附件：技术要求（货物）.docx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