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版本号：PZZX-26-B00220260122002</w:t>
      </w:r>
      <w:r>
        <w:br/>
      </w:r>
      <w:r>
        <w:br/>
      </w:r>
      <w:r>
        <w:br/>
      </w:r>
      <w:r>
        <w:br/>
      </w:r>
      <w:r>
        <w:br/>
      </w:r>
    </w:p>
    <w:p>
      <w:pPr>
        <w:pStyle w:val="null3"/>
        <w:jc w:val="center"/>
        <w:outlineLvl w:val="0"/>
      </w:pPr>
      <w:r>
        <w:rPr>
          <w:rFonts w:ascii="仿宋_GB2312" w:hAnsi="仿宋_GB2312" w:cs="仿宋_GB2312" w:eastAsia="仿宋_GB2312"/>
          <w:sz w:val="48"/>
          <w:b/>
        </w:rPr>
        <w:t>询价通知书</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2026年春节慰问品采购项目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PZZX-26-B002</w:t>
      </w:r>
      <w:r>
        <w:br/>
      </w:r>
      <w:r>
        <w:br/>
      </w:r>
      <w:r>
        <w:br/>
      </w:r>
    </w:p>
    <w:p>
      <w:pPr>
        <w:pStyle w:val="null3"/>
        <w:jc w:val="center"/>
        <w:outlineLvl w:val="2"/>
      </w:pPr>
      <w:r>
        <w:rPr>
          <w:rFonts w:ascii="仿宋_GB2312" w:hAnsi="仿宋_GB2312" w:cs="仿宋_GB2312" w:eastAsia="仿宋_GB2312"/>
          <w:sz w:val="28"/>
          <w:b/>
        </w:rPr>
        <w:t>西安市临潼区退役军人事务局</w:t>
      </w:r>
    </w:p>
    <w:p>
      <w:pPr>
        <w:pStyle w:val="null3"/>
        <w:jc w:val="center"/>
        <w:outlineLvl w:val="2"/>
      </w:pPr>
      <w:r>
        <w:rPr>
          <w:rFonts w:ascii="仿宋_GB2312" w:hAnsi="仿宋_GB2312" w:cs="仿宋_GB2312" w:eastAsia="仿宋_GB2312"/>
          <w:sz w:val="28"/>
          <w:b/>
        </w:rPr>
        <w:t>品智工程咨询有限公司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2026年01月19日</w:t>
      </w:r>
    </w:p>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第一章 询价邀请</w:t>
      </w:r>
    </w:p>
    <w:p>
      <w:pPr>
        <w:pStyle w:val="null3"/>
        <w:ind w:firstLine="480"/>
      </w:pPr>
      <w:r>
        <w:rPr>
          <w:rFonts w:ascii="仿宋_GB2312" w:hAnsi="仿宋_GB2312" w:cs="仿宋_GB2312" w:eastAsia="仿宋_GB2312"/>
        </w:rPr>
        <w:t>品智工程咨询有限公司</w:t>
      </w:r>
      <w:r>
        <w:rPr>
          <w:rFonts w:ascii="仿宋_GB2312" w:hAnsi="仿宋_GB2312" w:cs="仿宋_GB2312" w:eastAsia="仿宋_GB2312"/>
        </w:rPr>
        <w:t>（以下简称“代理机构”）受</w:t>
      </w:r>
      <w:r>
        <w:rPr>
          <w:rFonts w:ascii="仿宋_GB2312" w:hAnsi="仿宋_GB2312" w:cs="仿宋_GB2312" w:eastAsia="仿宋_GB2312"/>
        </w:rPr>
        <w:t>西安市临潼区退役军人事务局</w:t>
      </w:r>
      <w:r>
        <w:rPr>
          <w:rFonts w:ascii="仿宋_GB2312" w:hAnsi="仿宋_GB2312" w:cs="仿宋_GB2312" w:eastAsia="仿宋_GB2312"/>
        </w:rPr>
        <w:t>委托，拟对</w:t>
      </w:r>
      <w:r>
        <w:rPr>
          <w:rFonts w:ascii="仿宋_GB2312" w:hAnsi="仿宋_GB2312" w:cs="仿宋_GB2312" w:eastAsia="仿宋_GB2312"/>
        </w:rPr>
        <w:t>2026年春节慰问品采购项目</w:t>
      </w:r>
      <w:r>
        <w:rPr>
          <w:rFonts w:ascii="仿宋_GB2312" w:hAnsi="仿宋_GB2312" w:cs="仿宋_GB2312" w:eastAsia="仿宋_GB2312"/>
        </w:rPr>
        <w:t>进行询价采购，兹邀请供应商参加询价。</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PZZX-26-B002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2026年春节慰问品采购项目</w:t>
      </w:r>
    </w:p>
    <w:p>
      <w:pPr>
        <w:pStyle w:val="null3"/>
        <w:outlineLvl w:val="2"/>
      </w:pPr>
      <w:r>
        <w:rPr>
          <w:rFonts w:ascii="仿宋_GB2312" w:hAnsi="仿宋_GB2312" w:cs="仿宋_GB2312" w:eastAsia="仿宋_GB2312"/>
          <w:sz w:val="28"/>
          <w:b/>
        </w:rPr>
        <w:t>三、项目简介</w:t>
      </w:r>
    </w:p>
    <w:p>
      <w:pPr>
        <w:pStyle w:val="null3"/>
        <w:ind w:firstLine="480"/>
      </w:pPr>
      <w:r>
        <w:rPr>
          <w:rFonts w:ascii="仿宋_GB2312" w:hAnsi="仿宋_GB2312" w:cs="仿宋_GB2312" w:eastAsia="仿宋_GB2312"/>
        </w:rPr>
        <w:t>西安市临潼区退役军人事务局2026年春节慰问品采购，主要针对西安市临潼区退役军人事务局优抚对象及驻临部队采购慰问品，包括面粉、食用油、大米、牛奶、饮品等。</w:t>
      </w:r>
    </w:p>
    <w:p>
      <w:pPr>
        <w:pStyle w:val="null3"/>
        <w:outlineLvl w:val="2"/>
      </w:pPr>
      <w:r>
        <w:rPr>
          <w:rFonts w:ascii="仿宋_GB2312" w:hAnsi="仿宋_GB2312" w:cs="仿宋_GB2312" w:eastAsia="仿宋_GB2312"/>
          <w:sz w:val="28"/>
          <w:b/>
        </w:rPr>
        <w:t>四、邀请供应商方式</w:t>
      </w:r>
    </w:p>
    <w:p>
      <w:pPr>
        <w:pStyle w:val="null3"/>
      </w:pPr>
      <w:r>
        <w:rPr>
          <w:rFonts w:ascii="仿宋_GB2312" w:hAnsi="仿宋_GB2312" w:cs="仿宋_GB2312" w:eastAsia="仿宋_GB2312"/>
        </w:rPr>
        <w:t>本次采购采取公告征集邀请询价的供应商。</w:t>
      </w:r>
    </w:p>
    <w:p>
      <w:pPr>
        <w:pStyle w:val="null3"/>
      </w:pPr>
      <w:r>
        <w:rPr>
          <w:rFonts w:ascii="仿宋_GB2312" w:hAnsi="仿宋_GB2312" w:cs="仿宋_GB2312" w:eastAsia="仿宋_GB2312"/>
        </w:rPr>
        <w:t xml:space="preserve"> 公告征集：本次询价采购在“陕西省政府采购网（www.ccgp-shaanxi.gov.cn）”上以公告形式发布，兹邀请符合本次采购要求的供应商参加本项目询价采购。</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 xml:space="preserve"> 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2、法人代表证明书或法人授权委托书：法人代表证明书或法人授权委托书，后附法人及被委托人身份证（法定代表人直接参加开标的只需提供法定代表人身份证）；</w:t>
      </w:r>
    </w:p>
    <w:p>
      <w:pPr>
        <w:pStyle w:val="null3"/>
      </w:pPr>
      <w:r>
        <w:rPr>
          <w:rFonts w:ascii="仿宋_GB2312" w:hAnsi="仿宋_GB2312" w:cs="仿宋_GB2312" w:eastAsia="仿宋_GB2312"/>
        </w:rPr>
        <w:t>3、财务状况报告：提供2024年度经审计的财务审计报告 (成立时间至开标时间不足一年的可提供成立后任意时段的资产负债表）或开标截止时间前六个月内其基本账户银行出具的资信证明或政府采购信用担保机构出具的担保函；</w:t>
      </w:r>
    </w:p>
    <w:p>
      <w:pPr>
        <w:pStyle w:val="null3"/>
      </w:pPr>
      <w:r>
        <w:rPr>
          <w:rFonts w:ascii="仿宋_GB2312" w:hAnsi="仿宋_GB2312" w:cs="仿宋_GB2312" w:eastAsia="仿宋_GB2312"/>
        </w:rPr>
        <w:t>4、税收和社保证明：提供投标截止时间前一年内任意一个月（任意税种）的依法缴纳的税收和社保证明（社会保障资金缴存单据或社保机构开具的社会保险参保缴费情况证明）；依法免税或不需要缴纳社会保障资金的应提供相关证明材料；</w:t>
      </w:r>
    </w:p>
    <w:p>
      <w:pPr>
        <w:pStyle w:val="null3"/>
      </w:pPr>
      <w:r>
        <w:rPr>
          <w:rFonts w:ascii="仿宋_GB2312" w:hAnsi="仿宋_GB2312" w:cs="仿宋_GB2312" w:eastAsia="仿宋_GB2312"/>
        </w:rPr>
        <w:t>5、三年内没有重大违法记录的声明：参加政府采购活动前三年内，在经营活动中没有重大违法记录的书面声明；</w:t>
      </w:r>
    </w:p>
    <w:p>
      <w:pPr>
        <w:pStyle w:val="null3"/>
      </w:pPr>
      <w:r>
        <w:rPr>
          <w:rFonts w:ascii="仿宋_GB2312" w:hAnsi="仿宋_GB2312" w:cs="仿宋_GB2312" w:eastAsia="仿宋_GB2312"/>
        </w:rPr>
        <w:t>6、履行合同所必需的设备和专业技术能力的书面声明：履行合同所必需的设备和专业技术能力的书面声明；</w:t>
      </w:r>
    </w:p>
    <w:p>
      <w:pPr>
        <w:pStyle w:val="null3"/>
      </w:pPr>
      <w:r>
        <w:rPr>
          <w:rFonts w:ascii="仿宋_GB2312" w:hAnsi="仿宋_GB2312" w:cs="仿宋_GB2312" w:eastAsia="仿宋_GB2312"/>
        </w:rPr>
        <w:t>7、信用记录：供应商不得为“信用中国”网站（www.creditchina.gov.cn）中列入失信被执行人（中国执行信息公开网http://zxgk.court.gov.cn）和重大税收违法失信主体的供应商，不得为中国政府采购网（www.ccgp.gov.cn）政府采购严重违法失信行为记录名单中被财政部门禁止参加政府采购活动的供应商（提供报名时间后的网页查询结果截图）；</w:t>
      </w:r>
    </w:p>
    <w:p>
      <w:pPr>
        <w:pStyle w:val="null3"/>
      </w:pPr>
      <w:r>
        <w:rPr>
          <w:rFonts w:ascii="仿宋_GB2312" w:hAnsi="仿宋_GB2312" w:cs="仿宋_GB2312" w:eastAsia="仿宋_GB2312"/>
        </w:rPr>
        <w:t>8、供应商资质：供应商为生产厂家的须提供《食品生产许可证》；代理商须提供本单位《食品经营许可证》或《预包装食品经营者备案表》；</w:t>
      </w:r>
    </w:p>
    <w:p>
      <w:pPr>
        <w:pStyle w:val="null3"/>
      </w:pPr>
      <w:r>
        <w:rPr>
          <w:rFonts w:ascii="仿宋_GB2312" w:hAnsi="仿宋_GB2312" w:cs="仿宋_GB2312" w:eastAsia="仿宋_GB2312"/>
        </w:rPr>
        <w:t>9、非联合体投标：本项目不接受联合体投标。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七、询价通知书获取时间、方式及地址</w:t>
      </w:r>
    </w:p>
    <w:p>
      <w:pPr>
        <w:pStyle w:val="null3"/>
        <w:ind w:firstLine="480"/>
      </w:pPr>
      <w:r>
        <w:rPr>
          <w:rFonts w:ascii="仿宋_GB2312" w:hAnsi="仿宋_GB2312" w:cs="仿宋_GB2312" w:eastAsia="仿宋_GB2312"/>
        </w:rPr>
        <w:t>（一）询价通知书获取时间：详见采购公告。</w:t>
      </w:r>
    </w:p>
    <w:p>
      <w:pPr>
        <w:pStyle w:val="null3"/>
        <w:ind w:firstLine="480"/>
      </w:pPr>
      <w:r>
        <w:rPr>
          <w:rFonts w:ascii="仿宋_GB2312" w:hAnsi="仿宋_GB2312" w:cs="仿宋_GB2312" w:eastAsia="仿宋_GB2312"/>
        </w:rPr>
        <w:t xml:space="preserve"> （二）在询价通知书获取开始时间前，采购人或代理机构将本项目询价通知书上传至项目电子化交易系统，向供应商提供。供应商通过项目电子化交易系统获取询价通知书。成功获取询价通知书的，供应商将收到已获取询价通知书的回执函。未成功获取询价通知书的供应商，不得参与本次征集活动，不得对询价通知书提起质疑。</w:t>
      </w:r>
    </w:p>
    <w:p>
      <w:pPr>
        <w:pStyle w:val="null3"/>
        <w:ind w:firstLine="480"/>
      </w:pPr>
      <w:r>
        <w:rPr>
          <w:rFonts w:ascii="仿宋_GB2312" w:hAnsi="仿宋_GB2312" w:cs="仿宋_GB2312" w:eastAsia="仿宋_GB2312"/>
        </w:rPr>
        <w:t xml:space="preserve"> 成功获取询价通知书后，采购人或代理机构进行澄清或者修改，澄清或者修改的内容可能影响响应文件编制的，采购人或代理机构将通过项目电子化交易系统发布澄清或者修改后的询价通知书，供应商应当重新获取询价通知书；澄清或者修改后的询价通知书发布日期距提交响应文件截止日期不足3个工作日的，采购人或代理机构顺延提交响应文件的截止时间。供应商未重新获取询价通知书或者未按照澄清或者修改后的询价通知书编制响应文件进行响应的，自行承担不利后果。</w:t>
      </w:r>
    </w:p>
    <w:p>
      <w:pPr>
        <w:pStyle w:val="null3"/>
        <w:ind w:firstLine="480"/>
      </w:pPr>
      <w:r>
        <w:rPr>
          <w:rFonts w:ascii="仿宋_GB2312" w:hAnsi="仿宋_GB2312" w:cs="仿宋_GB2312" w:eastAsia="仿宋_GB2312"/>
        </w:rPr>
        <w:t>注：获取的询价通知书主体格式包括pdf、word两种格式版本，其中以pdf格式为准。</w:t>
      </w:r>
    </w:p>
    <w:p>
      <w:pPr>
        <w:pStyle w:val="null3"/>
        <w:outlineLvl w:val="2"/>
      </w:pPr>
      <w:r>
        <w:rPr>
          <w:rFonts w:ascii="仿宋_GB2312" w:hAnsi="仿宋_GB2312" w:cs="仿宋_GB2312" w:eastAsia="仿宋_GB2312"/>
          <w:sz w:val="28"/>
          <w:b/>
        </w:rPr>
        <w:t>八、响应文件提交截止时间及开启时间（北京时间）、地点、方式</w:t>
      </w:r>
    </w:p>
    <w:p>
      <w:pPr>
        <w:pStyle w:val="null3"/>
        <w:ind w:firstLine="480"/>
      </w:pPr>
      <w:r>
        <w:rPr>
          <w:rFonts w:ascii="仿宋_GB2312" w:hAnsi="仿宋_GB2312" w:cs="仿宋_GB2312" w:eastAsia="仿宋_GB2312"/>
        </w:rPr>
        <w:t>（一）响应文件提交截止时间及开启时间：详见采购公告。</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（三）本项目采取网上开启，即采购人或代理机构通过项目电子化交易系统“开标/开启大厅”组织在线开启。</w:t>
      </w:r>
    </w:p>
    <w:p>
      <w:pPr>
        <w:pStyle w:val="null3"/>
        <w:outlineLvl w:val="2"/>
      </w:pPr>
      <w:r>
        <w:rPr>
          <w:rFonts w:ascii="仿宋_GB2312" w:hAnsi="仿宋_GB2312" w:cs="仿宋_GB2312" w:eastAsia="仿宋_GB2312"/>
          <w:sz w:val="28"/>
          <w:b/>
        </w:rPr>
        <w:t>九、本询价邀请在陕西省政府采购网以公告形式发布</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西安市临潼区退役军人事务局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临潼区银桥大道郭庄路2号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临潼区退役军人事务局经办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13379512035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品智工程咨询有限公司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陕西省西安市未央区凤城八路与贞观路十字向北200米天和广场803室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17791329020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83825758</w:t>
      </w:r>
    </w:p>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供应商的采购包响应报价高于采购包采购预算的，其响应文件将按无效处理。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如以联合体响应的，联合体各方均应当具备本询价通知书要求的资格条件和能力。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（2）询价通知书对供应商资格条件有特殊要求的，联合体各个成员都应当具备规定的相应资格条件。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询价小组按照随机抽取方式确定一个参加询价的供应商，其他响应无效。</w:t>
            </w:r>
          </w:p>
          <w:p>
            <w:pPr>
              <w:pStyle w:val="null3"/>
            </w:pPr>
            <w:r>
              <w:rPr>
                <w:rFonts w:ascii="仿宋_GB2312" w:hAnsi="仿宋_GB2312" w:cs="仿宋_GB2312" w:eastAsia="仿宋_GB2312"/>
              </w:rPr>
              <w:t xml:space="preserve"> 核心产品清单详见第三章。</w:t>
            </w:r>
          </w:p>
          <w:p>
            <w:pPr>
              <w:pStyle w:val="null3"/>
            </w:pPr>
            <w:r>
              <w:rPr>
                <w:rFonts w:ascii="仿宋_GB2312" w:hAnsi="仿宋_GB2312" w:cs="仿宋_GB2312" w:eastAsia="仿宋_GB2312"/>
              </w:rPr>
              <w:t xml:space="preserve"> 在符合性审查环节提供核心产品品牌不足3个的，视为有效响应供应商不足3家。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审过程中，询价小组认为供应商报价明显低于其他通过符合性审查供应商的报价，有可能影响产品质量或者不能诚信履约的，询价小组应当要求其在合理的时间内通过项目电子化交易系统进行书面说明，必要时提交相关证明材料。供应商提交的书面说明，应当加盖供应商公章，在询价小组要求的时间内通过项目电子化交易系统进行提交，否则视为不能证明其响应报价合理性。供应商不能证明其响应报价合理性的，询价小组应当将其响应文件作为无效处理。</w:t>
            </w:r>
          </w:p>
          <w:p>
            <w:pPr>
              <w:pStyle w:val="null3"/>
            </w:pP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 号）、《国家发展和改革委员会办公厅关于招标代理服务收费有关问题的通知》（发改办价格〔2003〕857 号）规定的费率标准计算招标代理服务费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开启方式</w:t>
            </w:r>
          </w:p>
        </w:tc>
        <w:tc>
          <w:tcPr>
            <w:tcW w:type="dxa" w:w="5004"/>
          </w:tcPr>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出现上述的情形，不影响采购公平、公正的，采购人或者采购代理机构可以待上述情形消除后继续组织采购活动；影响或者可能影响采购公平、公正的，采购人或者采购代理机构应当依法终止采购活动。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一、本询价通知书仅适用于本次询价采购项目。</w:t>
      </w:r>
    </w:p>
    <w:p>
      <w:pPr>
        <w:pStyle w:val="null3"/>
        <w:ind w:firstLine="480"/>
      </w:pPr>
      <w:r>
        <w:rPr>
          <w:rFonts w:ascii="仿宋_GB2312" w:hAnsi="仿宋_GB2312" w:cs="仿宋_GB2312" w:eastAsia="仿宋_GB2312"/>
        </w:rPr>
        <w:t xml:space="preserve"> 二、本询价通知书的最终解释权由</w:t>
      </w:r>
      <w:r>
        <w:rPr>
          <w:rFonts w:ascii="仿宋_GB2312" w:hAnsi="仿宋_GB2312" w:cs="仿宋_GB2312" w:eastAsia="仿宋_GB2312"/>
        </w:rPr>
        <w:t>西安市临潼区退役军人事务局</w:t>
      </w:r>
      <w:r>
        <w:rPr>
          <w:rFonts w:ascii="仿宋_GB2312" w:hAnsi="仿宋_GB2312" w:cs="仿宋_GB2312" w:eastAsia="仿宋_GB2312"/>
        </w:rPr>
        <w:t>和</w:t>
      </w:r>
      <w:r>
        <w:rPr>
          <w:rFonts w:ascii="仿宋_GB2312" w:hAnsi="仿宋_GB2312" w:cs="仿宋_GB2312" w:eastAsia="仿宋_GB2312"/>
        </w:rPr>
        <w:t>品智工程咨询有限公司</w:t>
      </w:r>
      <w:r>
        <w:rPr>
          <w:rFonts w:ascii="仿宋_GB2312" w:hAnsi="仿宋_GB2312" w:cs="仿宋_GB2312" w:eastAsia="仿宋_GB2312"/>
        </w:rPr>
        <w:t>享有。询价通知书中供应商参加本次政府采购活动应当具备的条件、技术、服务、商务及其他要求由采购人负责解释。除前述询价通知书内容，其他内容</w:t>
      </w:r>
      <w:r>
        <w:rPr>
          <w:rFonts w:ascii="仿宋_GB2312" w:hAnsi="仿宋_GB2312" w:cs="仿宋_GB2312" w:eastAsia="仿宋_GB2312"/>
        </w:rPr>
        <w:t>品智工程咨询有限公司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一、“采购人”是指依法进行政府采购的各级国家机关、事业单位、团体组织。本次询价采购项目的采购人是</w:t>
      </w:r>
      <w:r>
        <w:rPr>
          <w:rFonts w:ascii="仿宋_GB2312" w:hAnsi="仿宋_GB2312" w:cs="仿宋_GB2312" w:eastAsia="仿宋_GB2312"/>
        </w:rPr>
        <w:t>西安市临潼区退役军人事务局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二、“供应商”是指按照本项目询价通知书规定获取询价通知书，拟参加响应和向采购人提供货物、工程或服务的法人、其他组织或自然人。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品智工程咨询有限公司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四、“网上开启”即不见面开启，是指代理机构通过项目电子化交易系统在线完成签到、开启和记录等活动，供应商通过项目电子化交易系统在线完成响应文件解密、参与询价采购活动。</w:t>
      </w:r>
    </w:p>
    <w:p>
      <w:pPr>
        <w:pStyle w:val="null3"/>
        <w:ind w:firstLine="480"/>
      </w:pPr>
      <w:r>
        <w:rPr>
          <w:rFonts w:ascii="仿宋_GB2312" w:hAnsi="仿宋_GB2312" w:cs="仿宋_GB2312" w:eastAsia="仿宋_GB2312"/>
        </w:rPr>
        <w:t xml:space="preserve"> 五、“电子评审”是指通过项目电子化交易系统在线完成资格审查小组和询价小组组建，开展资格和符合性审查、比较与评价、出具评审报告、推荐成交候选供应商等活动。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2.3询价通知书</w:t>
      </w:r>
    </w:p>
    <w:p>
      <w:pPr>
        <w:pStyle w:val="null3"/>
        <w:outlineLvl w:val="3"/>
      </w:pPr>
      <w:r>
        <w:rPr>
          <w:rFonts w:ascii="仿宋_GB2312" w:hAnsi="仿宋_GB2312" w:cs="仿宋_GB2312" w:eastAsia="仿宋_GB2312"/>
          <w:sz w:val="24"/>
          <w:b/>
        </w:rPr>
        <w:t xml:space="preserve"> 2.3.1询价通知书的构成</w:t>
      </w:r>
    </w:p>
    <w:p>
      <w:pPr>
        <w:pStyle w:val="null3"/>
        <w:ind w:firstLine="480"/>
      </w:pPr>
      <w:r>
        <w:rPr>
          <w:rFonts w:ascii="仿宋_GB2312" w:hAnsi="仿宋_GB2312" w:cs="仿宋_GB2312" w:eastAsia="仿宋_GB2312"/>
        </w:rPr>
        <w:t xml:space="preserve"> 一、询价通知书是供应商准备响应文件和参加询价采购活动的依据，同时也是评审的重要依据。询价通知书用以阐明采购项目所需的资质、技术、服务及报价等要求、询价采购活动程序、有关规定和注意事项以及合同草案条款等。本询价通知书包括以下内容：</w:t>
      </w:r>
    </w:p>
    <w:p>
      <w:pPr>
        <w:pStyle w:val="null3"/>
        <w:ind w:firstLine="480"/>
      </w:pPr>
      <w:r>
        <w:rPr>
          <w:rFonts w:ascii="仿宋_GB2312" w:hAnsi="仿宋_GB2312" w:cs="仿宋_GB2312" w:eastAsia="仿宋_GB2312"/>
        </w:rPr>
        <w:t>（一）询价邀请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（五）询价方法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二、供应商应认真阅读和充分理解询价通知书中所有的事项、格式条款和规范要求。供应商没有对询价通知书全面作出实质性响应所产生的风险由供应商承担。</w:t>
      </w:r>
    </w:p>
    <w:p>
      <w:pPr>
        <w:pStyle w:val="null3"/>
        <w:outlineLvl w:val="3"/>
      </w:pPr>
      <w:r>
        <w:rPr>
          <w:rFonts w:ascii="仿宋_GB2312" w:hAnsi="仿宋_GB2312" w:cs="仿宋_GB2312" w:eastAsia="仿宋_GB2312"/>
          <w:sz w:val="24"/>
          <w:b/>
        </w:rPr>
        <w:t xml:space="preserve"> 2.3.2询价通知书的澄清和修改</w:t>
      </w:r>
    </w:p>
    <w:p>
      <w:pPr>
        <w:pStyle w:val="null3"/>
        <w:ind w:firstLine="480"/>
      </w:pPr>
      <w:r>
        <w:rPr>
          <w:rFonts w:ascii="仿宋_GB2312" w:hAnsi="仿宋_GB2312" w:cs="仿宋_GB2312" w:eastAsia="仿宋_GB2312"/>
        </w:rPr>
        <w:t>一、在响应文件提交截止时间前，采购人或者代理机构可以对已发出的询价通知书进行必要的澄清或者修改。</w:t>
      </w:r>
    </w:p>
    <w:p>
      <w:pPr>
        <w:pStyle w:val="null3"/>
        <w:ind w:firstLine="480"/>
      </w:pPr>
      <w:r>
        <w:rPr>
          <w:rFonts w:ascii="仿宋_GB2312" w:hAnsi="仿宋_GB2312" w:cs="仿宋_GB2312" w:eastAsia="仿宋_GB2312"/>
        </w:rPr>
        <w:t xml:space="preserve"> 二、澄清或者修改的内容为询价通知书的组成部分。采购人或代理机构将在陕西省政府采购网发布更正公告，供应商应及时关注本项目更正公告信息，按更正后公告要求进行响应。更正内容可能影响响应文件编制的，采购人或代理机构将通过项目电子化交易系统发布更正后的询价通知书，供应商应依据更正后的询价通知书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询价小组在评审过程中的所有来往书面文件均须使用中文。响应文件中如附有外文资料，主要部分要对应翻译成中文并附在相关外文资料后面。未翻译的外文资料，询价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除询价通知书中另有规定外，本项目均采用国家法定的计量单位。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三、如采用供应商所不拥有的知识产权，则在报价中必须包括合法获取使用该知识产权的相关费用。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一、供应商应按照询价通知书的规定和要求编制响应文件。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一、供应商应按照询价通知书第六章中提供的“响应文件格式”填写相关内容。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三、通过资格审查和符合性审查供应商的响应文件中的报价表或分项报价明细表是一次性不可更改的报价。</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一、响应文件应当根据询价通知书进行编制。供应商应通过陕西省政府采购网-办事指南-CA及签章服务下载响应客户端，使用客户端编制响应文件。</w:t>
      </w:r>
    </w:p>
    <w:p>
      <w:pPr>
        <w:pStyle w:val="null3"/>
        <w:ind w:firstLine="480"/>
      </w:pPr>
      <w:r>
        <w:rPr>
          <w:rFonts w:ascii="仿宋_GB2312" w:hAnsi="仿宋_GB2312" w:cs="仿宋_GB2312" w:eastAsia="仿宋_GB2312"/>
        </w:rPr>
        <w:t xml:space="preserve"> 二、供应商应按照客户端操作要求，对应询价通知书的每项实质性要求，逐一如实响应；未如实响应或者响应内容不符合询价通知书对应项的要求的，其响应文件作无效处理。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询价通知书澄清或者修改的内容可能影响响应文件编制的，代理机构将重新发布澄清或者修改后的询价通知书，供应商应重新获取澄清或者修改后的询价通知书，按照澄清或者修改后的询价通知书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2.5.开启、资格审查、询价和成交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一、本项目为网上询价项目。网上开启的开始时间为响应文件提交截止时间。成功提交或解密电子响应文件的供应商不足3家的，不予开启，采购人或代理机构将终止采购活动。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响应文件提交截止时间前30分钟，供应商登录项目电子化交易系统-“开标/开启大厅”参与开启。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解密时间截止或者所有供应商响应文件均完成解密后（以发生在先的时间为准），由代理机构通过项目电子化交易系统对供应商名称、响应文件解密情况、响应报价进行展示。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详见询价通知书第四章。</w:t>
      </w:r>
    </w:p>
    <w:p>
      <w:pPr>
        <w:pStyle w:val="null3"/>
        <w:outlineLvl w:val="3"/>
      </w:pPr>
      <w:r>
        <w:rPr>
          <w:rFonts w:ascii="仿宋_GB2312" w:hAnsi="仿宋_GB2312" w:cs="仿宋_GB2312" w:eastAsia="仿宋_GB2312"/>
          <w:sz w:val="24"/>
          <w:b/>
        </w:rPr>
        <w:t>2.5.4询价</w:t>
      </w:r>
    </w:p>
    <w:p>
      <w:pPr>
        <w:pStyle w:val="null3"/>
        <w:ind w:firstLine="480"/>
      </w:pPr>
      <w:r>
        <w:rPr>
          <w:rFonts w:ascii="仿宋_GB2312" w:hAnsi="仿宋_GB2312" w:cs="仿宋_GB2312" w:eastAsia="仿宋_GB2312"/>
        </w:rPr>
        <w:t>详见询价通知书第五章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一、采购人或者询价小组确认成交供应商后，代理机构在陕西省政府采购网发布成交结果公告、通过项目电子化交易系统发出成交通知书，成交供应商通过项目电子化交易系统获取成交通知书。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二、采购人和成交供应商签订的采购合同不得对询价通知书确定的事项以及成交供应商的响应文件作实质性修改。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询价通知书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依据合同约定及招标文件执行。</w:t>
      </w:r>
    </w:p>
    <w:p>
      <w:pPr>
        <w:pStyle w:val="null3"/>
        <w:outlineLvl w:val="2"/>
      </w:pPr>
      <w:r>
        <w:rPr>
          <w:rFonts w:ascii="仿宋_GB2312" w:hAnsi="仿宋_GB2312" w:cs="仿宋_GB2312" w:eastAsia="仿宋_GB2312"/>
          <w:sz w:val="28"/>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2.7询价采购工作纪律及要求</w:t>
      </w:r>
    </w:p>
    <w:p>
      <w:pPr>
        <w:pStyle w:val="null3"/>
        <w:outlineLvl w:val="3"/>
      </w:pPr>
      <w:r>
        <w:rPr>
          <w:rFonts w:ascii="仿宋_GB2312" w:hAnsi="仿宋_GB2312" w:cs="仿宋_GB2312" w:eastAsia="仿宋_GB2312"/>
          <w:sz w:val="24"/>
          <w:b/>
        </w:rPr>
        <w:t xml:space="preserve"> 2.7.1供应商不得具有的情形（实质性要求）</w:t>
      </w:r>
    </w:p>
    <w:p>
      <w:pPr>
        <w:pStyle w:val="null3"/>
        <w:ind w:firstLine="480"/>
      </w:pPr>
      <w:r>
        <w:rPr>
          <w:rFonts w:ascii="仿宋_GB2312" w:hAnsi="仿宋_GB2312" w:cs="仿宋_GB2312" w:eastAsia="仿宋_GB2312"/>
        </w:rPr>
        <w:t>供应商参加询价不得有下列情形：</w:t>
      </w:r>
    </w:p>
    <w:p>
      <w:pPr>
        <w:pStyle w:val="null3"/>
        <w:ind w:firstLine="480"/>
      </w:pPr>
      <w:r>
        <w:rPr>
          <w:rFonts w:ascii="仿宋_GB2312" w:hAnsi="仿宋_GB2312" w:cs="仿宋_GB2312" w:eastAsia="仿宋_GB2312"/>
        </w:rPr>
        <w:t>一、有下列情形之一的，视为供应商串通询价：</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（二）不同供应商委托同一单位或者个人办理询价事宜；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五、向采购人或代理机构、询价小组成员行贿或者提供其他不正当利益；</w:t>
      </w:r>
    </w:p>
    <w:p>
      <w:pPr>
        <w:pStyle w:val="null3"/>
        <w:ind w:firstLine="480"/>
      </w:pPr>
      <w:r>
        <w:rPr>
          <w:rFonts w:ascii="仿宋_GB2312" w:hAnsi="仿宋_GB2312" w:cs="仿宋_GB2312" w:eastAsia="仿宋_GB2312"/>
        </w:rPr>
        <w:t>六、在询价过程中与采购人或代理机构进行协商谈判；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八、未按照询价通知书确定的事项签订政府采购合同；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根据委托代理协议约定，供应商对询价通知书的询问、质疑由 </w:t>
      </w:r>
      <w:r>
        <w:rPr>
          <w:rFonts w:ascii="仿宋_GB2312" w:hAnsi="仿宋_GB2312" w:cs="仿宋_GB2312" w:eastAsia="仿宋_GB2312"/>
        </w:rPr>
        <w:t>品智工程咨询有限公司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品智工程咨询有限公司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品智工程咨询有限公司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（五）针对质疑事项必要的证明材料（针对询价通知书提出的质疑，需提交从项目电子化交易系统获取的询价通知书回执函）。</w:t>
      </w:r>
    </w:p>
    <w:p>
      <w:pPr>
        <w:pStyle w:val="null3"/>
        <w:ind w:firstLine="480"/>
      </w:pPr>
      <w:r>
        <w:rPr>
          <w:rFonts w:ascii="仿宋_GB2312" w:hAnsi="仿宋_GB2312" w:cs="仿宋_GB2312" w:eastAsia="仿宋_GB2312"/>
        </w:rPr>
        <w:t>注：根据《中华人民共和国政府采购法》的规定，供应商质疑不得超出询价通知书、询价过程、成交结果的范围。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西安市临潼区退役军人事务局2026年春节慰问品采购，主要针对西安市临潼区退役军人事务局优抚对象及驻临部队采购慰问品，包括面粉、食用油、大米、牛奶、饮品等。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2026年春节慰问品采购项目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3.3技术参数及要求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标的名称：2026年春节慰问品采购项目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285"/>
              <w:tblBorders>
                <w:top w:val="none" w:color="000000" w:sz="4"/>
                <w:left w:val="none" w:color="000000" w:sz="4"/>
                <w:bottom w:val="none" w:color="000000" w:sz="4"/>
                <w:right w:val="none" w:color="000000" w:sz="4"/>
                <w:insideH w:val="none"/>
                <w:insideV w:val="none"/>
              </w:tblBorders>
            </w:tblPr>
            <w:tblGrid>
              <w:gridCol w:w="125"/>
              <w:gridCol w:w="203"/>
              <w:gridCol w:w="245"/>
              <w:gridCol w:w="220"/>
              <w:gridCol w:w="212"/>
              <w:gridCol w:w="1441"/>
            </w:tblGrid>
            <w:tr>
              <w:tc>
                <w:tcPr>
                  <w:tcW w:type="dxa" w:w="1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2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名称</w:t>
                  </w:r>
                </w:p>
              </w:tc>
              <w:tc>
                <w:tcPr>
                  <w:tcW w:type="dxa" w:w="2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2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14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参数</w:t>
                  </w:r>
                </w:p>
              </w:tc>
            </w:tr>
            <w:tr>
              <w:tc>
                <w:tcPr>
                  <w:tcW w:type="dxa" w:w="1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优抚对象</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小麦粉</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袋</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1430</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color w:val="000000"/>
                    </w:rPr>
                    <w:t>独立包装，配料：小麦粉，规格：</w:t>
                  </w:r>
                  <w:r>
                    <w:rPr>
                      <w:rFonts w:ascii="仿宋_GB2312" w:hAnsi="仿宋_GB2312" w:cs="仿宋_GB2312" w:eastAsia="仿宋_GB2312"/>
                      <w:sz w:val="21"/>
                      <w:color w:val="000000"/>
                    </w:rPr>
                    <w:t>≥</w:t>
                  </w:r>
                  <w:r>
                    <w:rPr>
                      <w:rFonts w:ascii="仿宋_GB2312" w:hAnsi="仿宋_GB2312" w:cs="仿宋_GB2312" w:eastAsia="仿宋_GB2312"/>
                      <w:sz w:val="21"/>
                      <w:color w:val="000000"/>
                    </w:rPr>
                    <w:t>10</w:t>
                  </w:r>
                  <w:r>
                    <w:rPr>
                      <w:rFonts w:ascii="仿宋_GB2312" w:hAnsi="仿宋_GB2312" w:cs="仿宋_GB2312" w:eastAsia="仿宋_GB2312"/>
                      <w:sz w:val="21"/>
                      <w:color w:val="000000"/>
                    </w:rPr>
                    <w:t>kg/袋；产品质量符合国家标准《</w:t>
                  </w:r>
                  <w:r>
                    <w:rPr>
                      <w:rFonts w:ascii="仿宋_GB2312" w:hAnsi="仿宋_GB2312" w:cs="仿宋_GB2312" w:eastAsia="仿宋_GB2312"/>
                      <w:sz w:val="21"/>
                      <w:color w:val="000000"/>
                    </w:rPr>
                    <w:t>GB/T 1355-2021</w:t>
                  </w:r>
                  <w:r>
                    <w:rPr>
                      <w:rFonts w:ascii="仿宋_GB2312" w:hAnsi="仿宋_GB2312" w:cs="仿宋_GB2312" w:eastAsia="仿宋_GB2312"/>
                      <w:sz w:val="21"/>
                      <w:color w:val="000000"/>
                    </w:rPr>
                    <w:t>》</w:t>
                  </w:r>
                  <w:r>
                    <w:rPr>
                      <w:rFonts w:ascii="仿宋_GB2312" w:hAnsi="仿宋_GB2312" w:cs="仿宋_GB2312" w:eastAsia="仿宋_GB2312"/>
                      <w:sz w:val="21"/>
                      <w:color w:val="000000"/>
                    </w:rPr>
                    <w:t>精制粉</w:t>
                  </w:r>
                  <w:r>
                    <w:rPr>
                      <w:rFonts w:ascii="仿宋_GB2312" w:hAnsi="仿宋_GB2312" w:cs="仿宋_GB2312" w:eastAsia="仿宋_GB2312"/>
                      <w:sz w:val="21"/>
                      <w:color w:val="000000"/>
                    </w:rPr>
                    <w:t>标准要求；便于运输、储存，外包装上必须标明生产日期，保质期，原料，配料，执行标准（或产品标准号），食品生产许可证编号，储存条件，制造商，产地等。</w:t>
                  </w:r>
                </w:p>
              </w:tc>
            </w:tr>
            <w:tr>
              <w:tc>
                <w:tcPr>
                  <w:tcW w:type="dxa" w:w="125"/>
                  <w:vMerge/>
                  <w:tcBorders>
                    <w:top w:val="none" w:color="000000" w:sz="4"/>
                    <w:left w:val="single" w:color="000000" w:sz="4"/>
                    <w:bottom w:val="single" w:color="000000" w:sz="4"/>
                    <w:right w:val="single" w:color="000000" w:sz="4"/>
                  </w:tcBorders>
                </w:tc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大米</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袋</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1430</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独立包装，规格：</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kg/袋；五常大米，质量符合国家标准《GB/</w:t>
                  </w:r>
                  <w:r>
                    <w:rPr>
                      <w:rFonts w:ascii="仿宋_GB2312" w:hAnsi="仿宋_GB2312" w:cs="仿宋_GB2312" w:eastAsia="仿宋_GB2312"/>
                      <w:sz w:val="21"/>
                    </w:rPr>
                    <w:t>T</w:t>
                  </w:r>
                  <w:r>
                    <w:rPr>
                      <w:rFonts w:ascii="仿宋_GB2312" w:hAnsi="仿宋_GB2312" w:cs="仿宋_GB2312" w:eastAsia="仿宋_GB2312"/>
                      <w:sz w:val="19"/>
                    </w:rPr>
                    <w:t xml:space="preserve"> </w:t>
                  </w:r>
                  <w:r>
                    <w:rPr>
                      <w:rFonts w:ascii="仿宋_GB2312" w:hAnsi="仿宋_GB2312" w:cs="仿宋_GB2312" w:eastAsia="仿宋_GB2312"/>
                      <w:sz w:val="21"/>
                    </w:rPr>
                    <w:t>19266</w:t>
                  </w:r>
                  <w:r>
                    <w:rPr>
                      <w:rFonts w:ascii="仿宋_GB2312" w:hAnsi="仿宋_GB2312" w:cs="仿宋_GB2312" w:eastAsia="仿宋_GB2312"/>
                      <w:sz w:val="21"/>
                    </w:rPr>
                    <w:t>-2024</w:t>
                  </w:r>
                  <w:r>
                    <w:rPr>
                      <w:rFonts w:ascii="仿宋_GB2312" w:hAnsi="仿宋_GB2312" w:cs="仿宋_GB2312" w:eastAsia="仿宋_GB2312"/>
                      <w:sz w:val="21"/>
                    </w:rPr>
                    <w:t>》优质一等标准要求；便于运输、储存，外包装上必须标明产品名称，配料，质量等级，生产日期，保质期，净含量，执行标准，储存条件，制造商，产地等。</w:t>
                  </w:r>
                </w:p>
              </w:tc>
            </w:tr>
            <w:tr>
              <w:tc>
                <w:tcPr>
                  <w:tcW w:type="dxa" w:w="125"/>
                  <w:vMerge/>
                  <w:tcBorders>
                    <w:top w:val="none" w:color="000000" w:sz="4"/>
                    <w:left w:val="single" w:color="000000" w:sz="4"/>
                    <w:bottom w:val="single" w:color="000000" w:sz="4"/>
                    <w:right w:val="single" w:color="000000" w:sz="4"/>
                  </w:tcBorders>
                </w:tc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食用油</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桶</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1430</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独立包装</w:t>
                  </w:r>
                  <w:r>
                    <w:rPr>
                      <w:rFonts w:ascii="仿宋_GB2312" w:hAnsi="仿宋_GB2312" w:cs="仿宋_GB2312" w:eastAsia="仿宋_GB2312"/>
                      <w:sz w:val="21"/>
                    </w:rPr>
                    <w:t xml:space="preserve">,规格：≥5L/桶；配料：菜籽油，非转基因压榨菜籽油，质量符合国家标准《GB/T1536-2021》 </w:t>
                  </w:r>
                  <w:r>
                    <w:rPr>
                      <w:rFonts w:ascii="仿宋_GB2312" w:hAnsi="仿宋_GB2312" w:cs="仿宋_GB2312" w:eastAsia="仿宋_GB2312"/>
                      <w:sz w:val="21"/>
                    </w:rPr>
                    <w:t>二</w:t>
                  </w:r>
                  <w:r>
                    <w:rPr>
                      <w:rFonts w:ascii="仿宋_GB2312" w:hAnsi="仿宋_GB2312" w:cs="仿宋_GB2312" w:eastAsia="仿宋_GB2312"/>
                      <w:sz w:val="21"/>
                    </w:rPr>
                    <w:t>级（含</w:t>
                  </w:r>
                  <w:r>
                    <w:rPr>
                      <w:rFonts w:ascii="仿宋_GB2312" w:hAnsi="仿宋_GB2312" w:cs="仿宋_GB2312" w:eastAsia="仿宋_GB2312"/>
                      <w:sz w:val="21"/>
                    </w:rPr>
                    <w:t>二</w:t>
                  </w:r>
                  <w:r>
                    <w:rPr>
                      <w:rFonts w:ascii="仿宋_GB2312" w:hAnsi="仿宋_GB2312" w:cs="仿宋_GB2312" w:eastAsia="仿宋_GB2312"/>
                      <w:sz w:val="21"/>
                    </w:rPr>
                    <w:t>级）以上，符合食品安全国家标准《</w:t>
                  </w:r>
                  <w:r>
                    <w:rPr>
                      <w:rFonts w:ascii="仿宋_GB2312" w:hAnsi="仿宋_GB2312" w:cs="仿宋_GB2312" w:eastAsia="仿宋_GB2312"/>
                      <w:sz w:val="21"/>
                    </w:rPr>
                    <w:t>GB 2716-2018》。外包装上必须标明生产日期，保质期，执行标准（或产品标准号），食品生产许可证编号，储存条件，制造商，产地等。</w:t>
                  </w:r>
                </w:p>
              </w:tc>
            </w:tr>
            <w:tr>
              <w:tc>
                <w:tcPr>
                  <w:tcW w:type="dxa" w:w="125"/>
                  <w:vMerge/>
                  <w:tcBorders>
                    <w:top w:val="none" w:color="000000" w:sz="4"/>
                    <w:left w:val="single" w:color="000000" w:sz="4"/>
                    <w:bottom w:val="single" w:color="000000" w:sz="4"/>
                    <w:right w:val="single" w:color="000000" w:sz="4"/>
                  </w:tcBorders>
                </w:tc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纯牛奶</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提</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1430</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独立包装，</w:t>
                  </w:r>
                  <w:r>
                    <w:rPr>
                      <w:rFonts w:ascii="仿宋_GB2312" w:hAnsi="仿宋_GB2312" w:cs="仿宋_GB2312" w:eastAsia="仿宋_GB2312"/>
                      <w:sz w:val="21"/>
                      <w:color w:val="000000"/>
                    </w:rPr>
                    <w:t>产品种类：全脂灭菌纯牛乳，配料：生牛乳，规格：</w:t>
                  </w:r>
                  <w:r>
                    <w:rPr>
                      <w:rFonts w:ascii="仿宋_GB2312" w:hAnsi="仿宋_GB2312" w:cs="仿宋_GB2312" w:eastAsia="仿宋_GB2312"/>
                      <w:sz w:val="21"/>
                      <w:color w:val="000000"/>
                    </w:rPr>
                    <w:t>≥</w:t>
                  </w:r>
                  <w:r>
                    <w:rPr>
                      <w:rFonts w:ascii="仿宋_GB2312" w:hAnsi="仿宋_GB2312" w:cs="仿宋_GB2312" w:eastAsia="仿宋_GB2312"/>
                      <w:sz w:val="21"/>
                      <w:color w:val="000000"/>
                    </w:rPr>
                    <w:t>225</w:t>
                  </w:r>
                  <w:r>
                    <w:rPr>
                      <w:rFonts w:ascii="仿宋_GB2312" w:hAnsi="仿宋_GB2312" w:cs="仿宋_GB2312" w:eastAsia="仿宋_GB2312"/>
                      <w:sz w:val="21"/>
                      <w:color w:val="000000"/>
                    </w:rPr>
                    <w:t>ml*10盒，产品质量符合国家食品检验标准；外包装上必须标明生产日期，</w:t>
                  </w:r>
                  <w:r>
                    <w:rPr>
                      <w:rFonts w:ascii="仿宋_GB2312" w:hAnsi="仿宋_GB2312" w:cs="仿宋_GB2312" w:eastAsia="仿宋_GB2312"/>
                      <w:sz w:val="21"/>
                      <w:color w:val="000000"/>
                    </w:rPr>
                    <w:t>保质期</w:t>
                  </w:r>
                  <w:r>
                    <w:rPr>
                      <w:rFonts w:ascii="仿宋_GB2312" w:hAnsi="仿宋_GB2312" w:cs="仿宋_GB2312" w:eastAsia="仿宋_GB2312"/>
                      <w:sz w:val="21"/>
                      <w:color w:val="000000"/>
                    </w:rPr>
                    <w:t>，</w:t>
                  </w:r>
                  <w:r>
                    <w:rPr>
                      <w:rFonts w:ascii="仿宋_GB2312" w:hAnsi="仿宋_GB2312" w:cs="仿宋_GB2312" w:eastAsia="仿宋_GB2312"/>
                      <w:sz w:val="21"/>
                      <w:color w:val="000000"/>
                    </w:rPr>
                    <w:t>执行标准，储存条件，生产厂家，产地等。</w:t>
                  </w:r>
                </w:p>
              </w:tc>
            </w:tr>
            <w:tr>
              <w:tc>
                <w:tcPr>
                  <w:tcW w:type="dxa" w:w="125"/>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驻临部队</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红茶</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箱</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独立包装，</w:t>
                  </w:r>
                  <w:r>
                    <w:rPr>
                      <w:rFonts w:ascii="仿宋_GB2312" w:hAnsi="仿宋_GB2312" w:cs="仿宋_GB2312" w:eastAsia="仿宋_GB2312"/>
                      <w:sz w:val="21"/>
                      <w:color w:val="000000"/>
                    </w:rPr>
                    <w:t>规格：</w:t>
                  </w:r>
                  <w:r>
                    <w:rPr>
                      <w:rFonts w:ascii="仿宋_GB2312" w:hAnsi="仿宋_GB2312" w:cs="仿宋_GB2312" w:eastAsia="仿宋_GB2312"/>
                      <w:sz w:val="21"/>
                      <w:color w:val="000000"/>
                    </w:rPr>
                    <w:t>≥</w:t>
                  </w:r>
                  <w:r>
                    <w:rPr>
                      <w:rFonts w:ascii="仿宋_GB2312" w:hAnsi="仿宋_GB2312" w:cs="仿宋_GB2312" w:eastAsia="仿宋_GB2312"/>
                      <w:sz w:val="21"/>
                      <w:color w:val="000000"/>
                    </w:rPr>
                    <w:t>500ml*15</w:t>
                  </w:r>
                  <w:r>
                    <w:rPr>
                      <w:rFonts w:ascii="仿宋_GB2312" w:hAnsi="仿宋_GB2312" w:cs="仿宋_GB2312" w:eastAsia="仿宋_GB2312"/>
                      <w:sz w:val="21"/>
                      <w:color w:val="000000"/>
                    </w:rPr>
                    <w:t>瓶</w:t>
                  </w:r>
                  <w:r>
                    <w:rPr>
                      <w:rFonts w:ascii="仿宋_GB2312" w:hAnsi="仿宋_GB2312" w:cs="仿宋_GB2312" w:eastAsia="仿宋_GB2312"/>
                      <w:sz w:val="21"/>
                      <w:color w:val="000000"/>
                    </w:rPr>
                    <w:t>，产品质量符合国家食品检验标准；</w:t>
                  </w:r>
                  <w:r>
                    <w:rPr>
                      <w:rFonts w:ascii="仿宋_GB2312" w:hAnsi="仿宋_GB2312" w:cs="仿宋_GB2312" w:eastAsia="仿宋_GB2312"/>
                      <w:sz w:val="21"/>
                      <w:color w:val="000000"/>
                    </w:rPr>
                    <w:t>外包装上必须标明生产日期，执行标准，储存条件，生产厂家，产地等。</w:t>
                  </w:r>
                </w:p>
              </w:tc>
            </w:tr>
            <w:tr>
              <w:tc>
                <w:tcPr>
                  <w:tcW w:type="dxa" w:w="125"/>
                  <w:vMerge/>
                  <w:tcBorders>
                    <w:top w:val="none" w:color="000000" w:sz="4"/>
                    <w:left w:val="single" w:color="000000" w:sz="4"/>
                    <w:bottom w:val="none" w:color="000000" w:sz="4"/>
                    <w:right w:val="single" w:color="000000" w:sz="4"/>
                  </w:tcBorders>
                </w:tc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绿茶</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箱</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独立包装，</w:t>
                  </w:r>
                  <w:r>
                    <w:rPr>
                      <w:rFonts w:ascii="仿宋_GB2312" w:hAnsi="仿宋_GB2312" w:cs="仿宋_GB2312" w:eastAsia="仿宋_GB2312"/>
                      <w:sz w:val="21"/>
                      <w:color w:val="000000"/>
                    </w:rPr>
                    <w:t>规格：</w:t>
                  </w:r>
                  <w:r>
                    <w:rPr>
                      <w:rFonts w:ascii="仿宋_GB2312" w:hAnsi="仿宋_GB2312" w:cs="仿宋_GB2312" w:eastAsia="仿宋_GB2312"/>
                      <w:sz w:val="21"/>
                      <w:color w:val="000000"/>
                    </w:rPr>
                    <w:t>≥</w:t>
                  </w:r>
                  <w:r>
                    <w:rPr>
                      <w:rFonts w:ascii="仿宋_GB2312" w:hAnsi="仿宋_GB2312" w:cs="仿宋_GB2312" w:eastAsia="仿宋_GB2312"/>
                      <w:sz w:val="21"/>
                      <w:color w:val="000000"/>
                    </w:rPr>
                    <w:t>500ml*15</w:t>
                  </w:r>
                  <w:r>
                    <w:rPr>
                      <w:rFonts w:ascii="仿宋_GB2312" w:hAnsi="仿宋_GB2312" w:cs="仿宋_GB2312" w:eastAsia="仿宋_GB2312"/>
                      <w:sz w:val="21"/>
                      <w:color w:val="000000"/>
                    </w:rPr>
                    <w:t>瓶</w:t>
                  </w:r>
                  <w:r>
                    <w:rPr>
                      <w:rFonts w:ascii="仿宋_GB2312" w:hAnsi="仿宋_GB2312" w:cs="仿宋_GB2312" w:eastAsia="仿宋_GB2312"/>
                      <w:sz w:val="21"/>
                      <w:color w:val="000000"/>
                    </w:rPr>
                    <w:t>，产品质量符合国家食品检验标准；</w:t>
                  </w:r>
                  <w:r>
                    <w:rPr>
                      <w:rFonts w:ascii="仿宋_GB2312" w:hAnsi="仿宋_GB2312" w:cs="仿宋_GB2312" w:eastAsia="仿宋_GB2312"/>
                      <w:sz w:val="21"/>
                      <w:color w:val="000000"/>
                    </w:rPr>
                    <w:t>外包装上必须标明生产日期，执行标准，储存条件，生产厂家，产地等。</w:t>
                  </w:r>
                </w:p>
              </w:tc>
            </w:tr>
            <w:tr>
              <w:tc>
                <w:tcPr>
                  <w:tcW w:type="dxa" w:w="125"/>
                  <w:vMerge/>
                  <w:tcBorders>
                    <w:top w:val="none" w:color="000000" w:sz="4"/>
                    <w:left w:val="single" w:color="000000" w:sz="4"/>
                    <w:bottom w:val="none" w:color="000000" w:sz="4"/>
                    <w:right w:val="single" w:color="000000" w:sz="4"/>
                  </w:tcBorders>
                </w:tc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苏打水</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箱</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独立包装，</w:t>
                  </w:r>
                  <w:r>
                    <w:rPr>
                      <w:rFonts w:ascii="仿宋_GB2312" w:hAnsi="仿宋_GB2312" w:cs="仿宋_GB2312" w:eastAsia="仿宋_GB2312"/>
                      <w:sz w:val="21"/>
                      <w:color w:val="000000"/>
                    </w:rPr>
                    <w:t>规格：</w:t>
                  </w: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5</w:t>
                  </w:r>
                  <w:r>
                    <w:rPr>
                      <w:rFonts w:ascii="仿宋_GB2312" w:hAnsi="仿宋_GB2312" w:cs="仿宋_GB2312" w:eastAsia="仿宋_GB2312"/>
                      <w:sz w:val="21"/>
                      <w:color w:val="000000"/>
                    </w:rPr>
                    <w:t>0ml*</w:t>
                  </w:r>
                  <w:r>
                    <w:rPr>
                      <w:rFonts w:ascii="仿宋_GB2312" w:hAnsi="仿宋_GB2312" w:cs="仿宋_GB2312" w:eastAsia="仿宋_GB2312"/>
                      <w:sz w:val="21"/>
                      <w:color w:val="000000"/>
                    </w:rPr>
                    <w:t>24瓶</w:t>
                  </w:r>
                  <w:r>
                    <w:rPr>
                      <w:rFonts w:ascii="仿宋_GB2312" w:hAnsi="仿宋_GB2312" w:cs="仿宋_GB2312" w:eastAsia="仿宋_GB2312"/>
                      <w:sz w:val="21"/>
                      <w:color w:val="000000"/>
                    </w:rPr>
                    <w:t>，产品质量符合国家食品检验标准；</w:t>
                  </w:r>
                  <w:r>
                    <w:rPr>
                      <w:rFonts w:ascii="仿宋_GB2312" w:hAnsi="仿宋_GB2312" w:cs="仿宋_GB2312" w:eastAsia="仿宋_GB2312"/>
                      <w:sz w:val="21"/>
                      <w:color w:val="000000"/>
                    </w:rPr>
                    <w:t>外包装上必须标明生产日期，执行标准，储存条件，生产厂家，产地等。</w:t>
                  </w:r>
                </w:p>
              </w:tc>
            </w:tr>
            <w:tr>
              <w:tc>
                <w:tcPr>
                  <w:tcW w:type="dxa" w:w="125"/>
                  <w:vMerge/>
                  <w:tcBorders>
                    <w:top w:val="none" w:color="000000" w:sz="4"/>
                    <w:left w:val="single" w:color="000000" w:sz="4"/>
                    <w:bottom w:val="none" w:color="000000" w:sz="4"/>
                    <w:right w:val="single" w:color="000000" w:sz="4"/>
                  </w:tcBorders>
                </w:tc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冰糖雪梨</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箱</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独立包装，</w:t>
                  </w:r>
                  <w:r>
                    <w:rPr>
                      <w:rFonts w:ascii="仿宋_GB2312" w:hAnsi="仿宋_GB2312" w:cs="仿宋_GB2312" w:eastAsia="仿宋_GB2312"/>
                      <w:sz w:val="21"/>
                      <w:color w:val="000000"/>
                    </w:rPr>
                    <w:t>规格：</w:t>
                  </w:r>
                  <w:r>
                    <w:rPr>
                      <w:rFonts w:ascii="仿宋_GB2312" w:hAnsi="仿宋_GB2312" w:cs="仿宋_GB2312" w:eastAsia="仿宋_GB2312"/>
                      <w:sz w:val="21"/>
                      <w:color w:val="000000"/>
                    </w:rPr>
                    <w:t>≥</w:t>
                  </w:r>
                  <w:r>
                    <w:rPr>
                      <w:rFonts w:ascii="仿宋_GB2312" w:hAnsi="仿宋_GB2312" w:cs="仿宋_GB2312" w:eastAsia="仿宋_GB2312"/>
                      <w:sz w:val="21"/>
                      <w:color w:val="000000"/>
                    </w:rPr>
                    <w:t>500ml*15</w:t>
                  </w:r>
                  <w:r>
                    <w:rPr>
                      <w:rFonts w:ascii="仿宋_GB2312" w:hAnsi="仿宋_GB2312" w:cs="仿宋_GB2312" w:eastAsia="仿宋_GB2312"/>
                      <w:sz w:val="21"/>
                      <w:color w:val="000000"/>
                    </w:rPr>
                    <w:t>瓶</w:t>
                  </w:r>
                  <w:r>
                    <w:rPr>
                      <w:rFonts w:ascii="仿宋_GB2312" w:hAnsi="仿宋_GB2312" w:cs="仿宋_GB2312" w:eastAsia="仿宋_GB2312"/>
                      <w:sz w:val="21"/>
                      <w:color w:val="000000"/>
                    </w:rPr>
                    <w:t>，产品质量符合国家食品检验标准；</w:t>
                  </w:r>
                  <w:r>
                    <w:rPr>
                      <w:rFonts w:ascii="仿宋_GB2312" w:hAnsi="仿宋_GB2312" w:cs="仿宋_GB2312" w:eastAsia="仿宋_GB2312"/>
                      <w:sz w:val="21"/>
                      <w:color w:val="000000"/>
                    </w:rPr>
                    <w:t>外包装上必须标明生产日期，执行标准，储存条件，生产厂家，产地等。</w:t>
                  </w:r>
                </w:p>
              </w:tc>
            </w:tr>
            <w:tr>
              <w:tc>
                <w:tcPr>
                  <w:tcW w:type="dxa" w:w="125"/>
                  <w:vMerge/>
                  <w:tcBorders>
                    <w:top w:val="none" w:color="000000" w:sz="4"/>
                    <w:left w:val="single" w:color="000000" w:sz="4"/>
                    <w:bottom w:val="none" w:color="000000" w:sz="4"/>
                    <w:right w:val="single" w:color="000000" w:sz="4"/>
                  </w:tcBorders>
                </w:tc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纯净水</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箱</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独立包装，</w:t>
                  </w:r>
                  <w:r>
                    <w:rPr>
                      <w:rFonts w:ascii="仿宋_GB2312" w:hAnsi="仿宋_GB2312" w:cs="仿宋_GB2312" w:eastAsia="仿宋_GB2312"/>
                      <w:sz w:val="21"/>
                      <w:color w:val="000000"/>
                    </w:rPr>
                    <w:t>规格</w:t>
                  </w:r>
                  <w:r>
                    <w:rPr>
                      <w:rFonts w:ascii="仿宋_GB2312" w:hAnsi="仿宋_GB2312" w:cs="仿宋_GB2312" w:eastAsia="仿宋_GB2312"/>
                      <w:sz w:val="21"/>
                      <w:color w:val="000000"/>
                    </w:rPr>
                    <w:t>≥550</w:t>
                  </w:r>
                  <w:r>
                    <w:rPr>
                      <w:rFonts w:ascii="仿宋_GB2312" w:hAnsi="仿宋_GB2312" w:cs="仿宋_GB2312" w:eastAsia="仿宋_GB2312"/>
                      <w:sz w:val="21"/>
                      <w:color w:val="000000"/>
                    </w:rPr>
                    <w:t>ml*</w:t>
                  </w:r>
                  <w:r>
                    <w:rPr>
                      <w:rFonts w:ascii="仿宋_GB2312" w:hAnsi="仿宋_GB2312" w:cs="仿宋_GB2312" w:eastAsia="仿宋_GB2312"/>
                      <w:sz w:val="21"/>
                      <w:color w:val="000000"/>
                    </w:rPr>
                    <w:t>24瓶</w:t>
                  </w:r>
                  <w:r>
                    <w:rPr>
                      <w:rFonts w:ascii="仿宋_GB2312" w:hAnsi="仿宋_GB2312" w:cs="仿宋_GB2312" w:eastAsia="仿宋_GB2312"/>
                      <w:sz w:val="21"/>
                      <w:color w:val="000000"/>
                    </w:rPr>
                    <w:t>，产品质量符合国家食品检验标准；</w:t>
                  </w:r>
                  <w:r>
                    <w:rPr>
                      <w:rFonts w:ascii="仿宋_GB2312" w:hAnsi="仿宋_GB2312" w:cs="仿宋_GB2312" w:eastAsia="仿宋_GB2312"/>
                      <w:sz w:val="21"/>
                      <w:color w:val="000000"/>
                    </w:rPr>
                    <w:t>外包装上必须标明生产日期，执行标准，储存条件，生产厂家，产地等。</w:t>
                  </w:r>
                </w:p>
              </w:tc>
            </w:tr>
            <w:tr>
              <w:tc>
                <w:tcPr>
                  <w:tcW w:type="dxa" w:w="125"/>
                  <w:vMerge/>
                  <w:tcBorders>
                    <w:top w:val="none" w:color="000000" w:sz="4"/>
                    <w:left w:val="single" w:color="000000" w:sz="4"/>
                    <w:bottom w:val="none" w:color="000000" w:sz="4"/>
                    <w:right w:val="single" w:color="000000" w:sz="4"/>
                  </w:tcBorders>
                </w:tc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纯牛奶</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提</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900</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独立包装，</w:t>
                  </w:r>
                  <w:r>
                    <w:rPr>
                      <w:rFonts w:ascii="仿宋_GB2312" w:hAnsi="仿宋_GB2312" w:cs="仿宋_GB2312" w:eastAsia="仿宋_GB2312"/>
                      <w:sz w:val="21"/>
                      <w:color w:val="000000"/>
                    </w:rPr>
                    <w:t>产品种类：全脂灭菌纯牛乳，配料：生牛乳，规格：规格</w:t>
                  </w:r>
                  <w:r>
                    <w:rPr>
                      <w:rFonts w:ascii="仿宋_GB2312" w:hAnsi="仿宋_GB2312" w:cs="仿宋_GB2312" w:eastAsia="仿宋_GB2312"/>
                      <w:sz w:val="21"/>
                      <w:color w:val="000000"/>
                    </w:rPr>
                    <w:t>≥</w:t>
                  </w:r>
                  <w:r>
                    <w:rPr>
                      <w:rFonts w:ascii="仿宋_GB2312" w:hAnsi="仿宋_GB2312" w:cs="仿宋_GB2312" w:eastAsia="仿宋_GB2312"/>
                      <w:sz w:val="21"/>
                      <w:color w:val="000000"/>
                    </w:rPr>
                    <w:t>250ml*1</w:t>
                  </w:r>
                  <w:r>
                    <w:rPr>
                      <w:rFonts w:ascii="仿宋_GB2312" w:hAnsi="仿宋_GB2312" w:cs="仿宋_GB2312" w:eastAsia="仿宋_GB2312"/>
                      <w:sz w:val="21"/>
                      <w:color w:val="000000"/>
                    </w:rPr>
                    <w:t>2</w:t>
                  </w:r>
                  <w:r>
                    <w:rPr>
                      <w:rFonts w:ascii="仿宋_GB2312" w:hAnsi="仿宋_GB2312" w:cs="仿宋_GB2312" w:eastAsia="仿宋_GB2312"/>
                      <w:sz w:val="21"/>
                      <w:color w:val="000000"/>
                    </w:rPr>
                    <w:t>盒，产品质量符合国家食品检验标准；外包装上必须标明生产日期，</w:t>
                  </w:r>
                  <w:r>
                    <w:rPr>
                      <w:rFonts w:ascii="仿宋_GB2312" w:hAnsi="仿宋_GB2312" w:cs="仿宋_GB2312" w:eastAsia="仿宋_GB2312"/>
                      <w:sz w:val="21"/>
                      <w:color w:val="000000"/>
                    </w:rPr>
                    <w:t>保质期</w:t>
                  </w:r>
                  <w:r>
                    <w:rPr>
                      <w:rFonts w:ascii="仿宋_GB2312" w:hAnsi="仿宋_GB2312" w:cs="仿宋_GB2312" w:eastAsia="仿宋_GB2312"/>
                      <w:sz w:val="21"/>
                      <w:color w:val="000000"/>
                    </w:rPr>
                    <w:t>，</w:t>
                  </w:r>
                  <w:r>
                    <w:rPr>
                      <w:rFonts w:ascii="仿宋_GB2312" w:hAnsi="仿宋_GB2312" w:cs="仿宋_GB2312" w:eastAsia="仿宋_GB2312"/>
                      <w:sz w:val="21"/>
                      <w:color w:val="000000"/>
                    </w:rPr>
                    <w:t>执行标准，储存条件，生产厂家，产地等。</w:t>
                  </w:r>
                </w:p>
              </w:tc>
            </w:tr>
            <w:tr>
              <w:tc>
                <w:tcPr>
                  <w:tcW w:type="dxa" w:w="125"/>
                  <w:vMerge/>
                  <w:tcBorders>
                    <w:top w:val="none" w:color="000000" w:sz="4"/>
                    <w:left w:val="single" w:color="000000" w:sz="4"/>
                    <w:bottom w:val="none" w:color="000000" w:sz="4"/>
                    <w:right w:val="single" w:color="000000" w:sz="4"/>
                  </w:tcBorders>
                </w:tc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酸奶</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提</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独立包装，</w:t>
                  </w:r>
                  <w:r>
                    <w:rPr>
                      <w:rFonts w:ascii="仿宋_GB2312" w:hAnsi="仿宋_GB2312" w:cs="仿宋_GB2312" w:eastAsia="仿宋_GB2312"/>
                      <w:sz w:val="21"/>
                      <w:color w:val="000000"/>
                    </w:rPr>
                    <w:t>产品种类：常温风味酸奶，处理方式：巴氏杀菌，规格：</w:t>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50</w:t>
                  </w:r>
                  <w:r>
                    <w:rPr>
                      <w:rFonts w:ascii="仿宋_GB2312" w:hAnsi="仿宋_GB2312" w:cs="仿宋_GB2312" w:eastAsia="仿宋_GB2312"/>
                      <w:sz w:val="21"/>
                      <w:color w:val="000000"/>
                    </w:rPr>
                    <w:t>ml*12盒</w:t>
                  </w:r>
                  <w:r>
                    <w:rPr>
                      <w:rFonts w:ascii="仿宋_GB2312" w:hAnsi="仿宋_GB2312" w:cs="仿宋_GB2312" w:eastAsia="仿宋_GB2312"/>
                      <w:sz w:val="21"/>
                      <w:color w:val="000000"/>
                    </w:rPr>
                    <w:t>，产品质量符合国家食品检验标准；外包装上必须标明生产日期，</w:t>
                  </w:r>
                  <w:r>
                    <w:rPr>
                      <w:rFonts w:ascii="仿宋_GB2312" w:hAnsi="仿宋_GB2312" w:cs="仿宋_GB2312" w:eastAsia="仿宋_GB2312"/>
                      <w:sz w:val="21"/>
                      <w:color w:val="000000"/>
                    </w:rPr>
                    <w:t>保质期</w:t>
                  </w:r>
                  <w:r>
                    <w:rPr>
                      <w:rFonts w:ascii="仿宋_GB2312" w:hAnsi="仿宋_GB2312" w:cs="仿宋_GB2312" w:eastAsia="仿宋_GB2312"/>
                      <w:sz w:val="21"/>
                      <w:color w:val="000000"/>
                    </w:rPr>
                    <w:t>，</w:t>
                  </w:r>
                  <w:r>
                    <w:rPr>
                      <w:rFonts w:ascii="仿宋_GB2312" w:hAnsi="仿宋_GB2312" w:cs="仿宋_GB2312" w:eastAsia="仿宋_GB2312"/>
                      <w:sz w:val="21"/>
                      <w:color w:val="000000"/>
                    </w:rPr>
                    <w:t>执行标准，储存条件，生产厂家，产地等。</w:t>
                  </w:r>
                </w:p>
              </w:tc>
            </w:tr>
            <w:tr>
              <w:tc>
                <w:tcPr>
                  <w:tcW w:type="dxa" w:w="125"/>
                  <w:vMerge/>
                  <w:tcBorders>
                    <w:top w:val="none" w:color="000000" w:sz="4"/>
                    <w:left w:val="single" w:color="000000" w:sz="4"/>
                    <w:bottom w:val="none" w:color="000000" w:sz="4"/>
                    <w:right w:val="single" w:color="000000" w:sz="4"/>
                  </w:tcBorders>
                </w:tc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苹果</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1800</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礼盒包装，</w:t>
                  </w:r>
                  <w:r>
                    <w:rPr>
                      <w:rFonts w:ascii="仿宋_GB2312" w:hAnsi="仿宋_GB2312" w:cs="仿宋_GB2312" w:eastAsia="仿宋_GB2312"/>
                      <w:sz w:val="21"/>
                      <w:color w:val="000000"/>
                    </w:rPr>
                    <w:t>规格：</w:t>
                  </w: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KG</w:t>
                  </w:r>
                  <w:r>
                    <w:rPr>
                      <w:rFonts w:ascii="仿宋_GB2312" w:hAnsi="仿宋_GB2312" w:cs="仿宋_GB2312" w:eastAsia="仿宋_GB2312"/>
                      <w:sz w:val="21"/>
                      <w:color w:val="000000"/>
                    </w:rPr>
                    <w:t>，</w:t>
                  </w:r>
                  <w:r>
                    <w:rPr>
                      <w:rFonts w:ascii="仿宋_GB2312" w:hAnsi="仿宋_GB2312" w:cs="仿宋_GB2312" w:eastAsia="仿宋_GB2312"/>
                      <w:sz w:val="21"/>
                      <w:color w:val="000000"/>
                    </w:rPr>
                    <w:t>洛川红富士，单果果径</w:t>
                  </w:r>
                  <w:r>
                    <w:rPr>
                      <w:rFonts w:ascii="仿宋_GB2312" w:hAnsi="仿宋_GB2312" w:cs="仿宋_GB2312" w:eastAsia="仿宋_GB2312"/>
                      <w:sz w:val="21"/>
                      <w:color w:val="000000"/>
                    </w:rPr>
                    <w:t>85mm+</w:t>
                  </w:r>
                </w:p>
              </w:tc>
            </w:tr>
            <w:tr>
              <w:tc>
                <w:tcPr>
                  <w:tcW w:type="dxa" w:w="125"/>
                  <w:vMerge/>
                  <w:tcBorders>
                    <w:top w:val="none" w:color="000000" w:sz="4"/>
                    <w:left w:val="single" w:color="000000" w:sz="4"/>
                    <w:bottom w:val="none" w:color="000000" w:sz="4"/>
                    <w:right w:val="single" w:color="000000" w:sz="4"/>
                  </w:tcBorders>
                </w:tc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耙耙柑</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1800</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礼盒包装，</w:t>
                  </w:r>
                  <w:r>
                    <w:rPr>
                      <w:rFonts w:ascii="仿宋_GB2312" w:hAnsi="仿宋_GB2312" w:cs="仿宋_GB2312" w:eastAsia="仿宋_GB2312"/>
                      <w:sz w:val="21"/>
                      <w:color w:val="000000"/>
                    </w:rPr>
                    <w:t>规格：</w:t>
                  </w: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KG</w:t>
                  </w:r>
                  <w:r>
                    <w:rPr>
                      <w:rFonts w:ascii="仿宋_GB2312" w:hAnsi="仿宋_GB2312" w:cs="仿宋_GB2312" w:eastAsia="仿宋_GB2312"/>
                      <w:sz w:val="21"/>
                      <w:color w:val="000000"/>
                    </w:rPr>
                    <w:t>，</w:t>
                  </w:r>
                  <w:r>
                    <w:rPr>
                      <w:rFonts w:ascii="仿宋_GB2312" w:hAnsi="仿宋_GB2312" w:cs="仿宋_GB2312" w:eastAsia="仿宋_GB2312"/>
                      <w:sz w:val="21"/>
                      <w:color w:val="000000"/>
                    </w:rPr>
                    <w:t>春见耙耙柑，单果克重</w:t>
                  </w:r>
                  <w:r>
                    <w:rPr>
                      <w:rFonts w:ascii="仿宋_GB2312" w:hAnsi="仿宋_GB2312" w:cs="仿宋_GB2312" w:eastAsia="仿宋_GB2312"/>
                      <w:sz w:val="21"/>
                      <w:color w:val="000000"/>
                    </w:rPr>
                    <w:t>220g+</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80"/>
            </w:pPr>
            <w:r>
              <w:rPr>
                <w:rFonts w:ascii="仿宋_GB2312" w:hAnsi="仿宋_GB2312" w:cs="仿宋_GB2312" w:eastAsia="仿宋_GB2312"/>
                <w:sz w:val="27"/>
                <w:b/>
              </w:rPr>
              <w:t>二、商务要求</w:t>
            </w:r>
          </w:p>
          <w:p>
            <w:pPr>
              <w:pStyle w:val="null3"/>
              <w:ind w:firstLine="480"/>
            </w:pPr>
            <w:r>
              <w:rPr>
                <w:rFonts w:ascii="仿宋_GB2312" w:hAnsi="仿宋_GB2312" w:cs="仿宋_GB2312" w:eastAsia="仿宋_GB2312"/>
                <w:sz w:val="24"/>
                <w:color w:val="000000"/>
              </w:rPr>
              <w:t>1、</w:t>
            </w:r>
            <w:r>
              <w:rPr>
                <w:rFonts w:ascii="仿宋_GB2312" w:hAnsi="仿宋_GB2312" w:cs="仿宋_GB2312" w:eastAsia="仿宋_GB2312"/>
                <w:sz w:val="24"/>
                <w:color w:val="000000"/>
              </w:rPr>
              <w:t>交货期：自合同签订后</w:t>
            </w:r>
            <w:r>
              <w:rPr>
                <w:rFonts w:ascii="仿宋_GB2312" w:hAnsi="仿宋_GB2312" w:cs="仿宋_GB2312" w:eastAsia="仿宋_GB2312"/>
                <w:sz w:val="24"/>
                <w:color w:val="000000"/>
              </w:rPr>
              <w:t>2个日历日内完成备货，备货完成后2个日历日内配送至临潼区下属的22个街办及11个驻临部队（至少满足同时配送5个驻临部队）。</w:t>
            </w:r>
          </w:p>
          <w:p>
            <w:pPr>
              <w:pStyle w:val="null3"/>
              <w:ind w:firstLine="480"/>
            </w:pPr>
            <w:r>
              <w:rPr>
                <w:rFonts w:ascii="仿宋_GB2312" w:hAnsi="仿宋_GB2312" w:cs="仿宋_GB2312" w:eastAsia="仿宋_GB2312"/>
                <w:sz w:val="24"/>
                <w:color w:val="000000"/>
              </w:rPr>
              <w:t>2、</w:t>
            </w:r>
            <w:r>
              <w:rPr>
                <w:rFonts w:ascii="仿宋_GB2312" w:hAnsi="仿宋_GB2312" w:cs="仿宋_GB2312" w:eastAsia="仿宋_GB2312"/>
                <w:sz w:val="24"/>
                <w:color w:val="000000"/>
              </w:rPr>
              <w:t>交货地点：采购人指定地点。</w:t>
            </w:r>
          </w:p>
          <w:p>
            <w:pPr>
              <w:pStyle w:val="null3"/>
              <w:ind w:firstLine="480"/>
            </w:pPr>
            <w:r>
              <w:rPr>
                <w:rFonts w:ascii="仿宋_GB2312" w:hAnsi="仿宋_GB2312" w:cs="仿宋_GB2312" w:eastAsia="仿宋_GB2312"/>
                <w:sz w:val="24"/>
                <w:color w:val="000000"/>
              </w:rPr>
              <w:t>3、</w:t>
            </w:r>
            <w:r>
              <w:rPr>
                <w:rFonts w:ascii="仿宋_GB2312" w:hAnsi="仿宋_GB2312" w:cs="仿宋_GB2312" w:eastAsia="仿宋_GB2312"/>
                <w:sz w:val="24"/>
                <w:color w:val="000000"/>
              </w:rPr>
              <w:t>质保期：保证从交货时间起算剩余质保期</w:t>
            </w:r>
            <w:r>
              <w:rPr>
                <w:rFonts w:ascii="仿宋_GB2312" w:hAnsi="仿宋_GB2312" w:cs="仿宋_GB2312" w:eastAsia="仿宋_GB2312"/>
                <w:sz w:val="24"/>
                <w:color w:val="000000"/>
              </w:rPr>
              <w:t>≥2/3质保期。</w:t>
            </w:r>
          </w:p>
          <w:p>
            <w:pPr>
              <w:pStyle w:val="null3"/>
              <w:ind w:firstLine="480"/>
            </w:pPr>
            <w:r>
              <w:rPr>
                <w:rFonts w:ascii="仿宋_GB2312" w:hAnsi="仿宋_GB2312" w:cs="仿宋_GB2312" w:eastAsia="仿宋_GB2312"/>
                <w:sz w:val="24"/>
                <w:color w:val="000000"/>
              </w:rPr>
              <w:t>4、包装要求：独立包装（拒绝分装、散装商品），便于运输储存，外包符合国家食品包装规范。</w:t>
            </w:r>
          </w:p>
          <w:p>
            <w:pPr>
              <w:pStyle w:val="null3"/>
              <w:ind w:firstLine="480"/>
            </w:pPr>
            <w:r>
              <w:rPr>
                <w:rFonts w:ascii="仿宋_GB2312" w:hAnsi="仿宋_GB2312" w:cs="仿宋_GB2312" w:eastAsia="仿宋_GB2312"/>
                <w:sz w:val="24"/>
              </w:rPr>
              <w:t>5、质量要求：</w:t>
            </w:r>
          </w:p>
          <w:p>
            <w:pPr>
              <w:pStyle w:val="null3"/>
              <w:ind w:firstLine="480"/>
            </w:pPr>
            <w:r>
              <w:rPr>
                <w:rFonts w:ascii="仿宋_GB2312" w:hAnsi="仿宋_GB2312" w:cs="仿宋_GB2312" w:eastAsia="仿宋_GB2312"/>
                <w:sz w:val="24"/>
              </w:rPr>
              <w:t>5.1货物（产品）制造商、经销代理商应严格遵守《中华人民共和国产品质量法》，确保提供的产品符合质量标准，达到合格产品的要求。可能危及人体健康和人身、财产安全的工业产品必须符合保障人体健康和人身、财产安全的国家标准、行业标准；未制定国家标准、行业标准的，必须符合保障人体健康和人身、财产安全的要求。</w:t>
            </w:r>
          </w:p>
          <w:p>
            <w:pPr>
              <w:pStyle w:val="null3"/>
              <w:ind w:firstLine="480"/>
            </w:pPr>
            <w:r>
              <w:rPr>
                <w:rFonts w:ascii="仿宋_GB2312" w:hAnsi="仿宋_GB2312" w:cs="仿宋_GB2312" w:eastAsia="仿宋_GB2312"/>
                <w:sz w:val="24"/>
              </w:rPr>
              <w:t>5.2严格按照《食品安全法》的规定保证质量。严禁添加剂、防腐剂和一些可能危害身体健康的元素含量超标。由于产品质量引起的一切责任由供货商承担，采购人有权终止合同。</w:t>
            </w:r>
          </w:p>
          <w:p>
            <w:pPr>
              <w:pStyle w:val="null3"/>
              <w:ind w:firstLine="480"/>
            </w:pPr>
            <w:r>
              <w:rPr>
                <w:rFonts w:ascii="仿宋_GB2312" w:hAnsi="仿宋_GB2312" w:cs="仿宋_GB2312" w:eastAsia="仿宋_GB2312"/>
                <w:sz w:val="24"/>
              </w:rPr>
              <w:t>5.3</w:t>
            </w:r>
            <w:r>
              <w:rPr>
                <w:rFonts w:ascii="仿宋_GB2312" w:hAnsi="仿宋_GB2312" w:cs="仿宋_GB2312" w:eastAsia="仿宋_GB2312"/>
                <w:sz w:val="24"/>
              </w:rPr>
              <w:t>所供货物是经过国家法定检验、注册、准许市场销售的合法产品。</w:t>
            </w:r>
          </w:p>
          <w:p>
            <w:pPr>
              <w:pStyle w:val="null3"/>
              <w:ind w:firstLine="480"/>
            </w:pPr>
            <w:r>
              <w:rPr>
                <w:rFonts w:ascii="仿宋_GB2312" w:hAnsi="仿宋_GB2312" w:cs="仿宋_GB2312" w:eastAsia="仿宋_GB2312"/>
                <w:sz w:val="24"/>
              </w:rPr>
              <w:t>6</w:t>
            </w:r>
            <w:r>
              <w:rPr>
                <w:rFonts w:ascii="仿宋_GB2312" w:hAnsi="仿宋_GB2312" w:cs="仿宋_GB2312" w:eastAsia="仿宋_GB2312"/>
                <w:sz w:val="24"/>
              </w:rPr>
              <w:t>、运输</w:t>
            </w:r>
            <w:r>
              <w:rPr>
                <w:rFonts w:ascii="仿宋_GB2312" w:hAnsi="仿宋_GB2312" w:cs="仿宋_GB2312" w:eastAsia="仿宋_GB2312"/>
                <w:sz w:val="24"/>
              </w:rPr>
              <w:t>要求</w:t>
            </w:r>
          </w:p>
          <w:p>
            <w:pPr>
              <w:pStyle w:val="null3"/>
              <w:ind w:firstLine="480"/>
            </w:pPr>
            <w:r>
              <w:rPr>
                <w:rFonts w:ascii="仿宋_GB2312" w:hAnsi="仿宋_GB2312" w:cs="仿宋_GB2312" w:eastAsia="仿宋_GB2312"/>
                <w:sz w:val="24"/>
              </w:rPr>
              <w:t>6.1</w:t>
            </w:r>
            <w:r>
              <w:rPr>
                <w:rFonts w:ascii="仿宋_GB2312" w:hAnsi="仿宋_GB2312" w:cs="仿宋_GB2312" w:eastAsia="仿宋_GB2312"/>
                <w:sz w:val="24"/>
              </w:rPr>
              <w:t>投标人负责所有货物的运输。确保货物安全、完整到达使用地点，运杂费用包含在总价内，包括货物从供货地点到使用地点的运输费、保险费、搬运费等。</w:t>
            </w:r>
          </w:p>
          <w:p>
            <w:pPr>
              <w:pStyle w:val="null3"/>
              <w:ind w:firstLine="480"/>
            </w:pPr>
            <w:r>
              <w:rPr>
                <w:rFonts w:ascii="仿宋_GB2312" w:hAnsi="仿宋_GB2312" w:cs="仿宋_GB2312" w:eastAsia="仿宋_GB2312"/>
                <w:sz w:val="24"/>
              </w:rPr>
              <w:t>6.2</w:t>
            </w:r>
            <w:r>
              <w:rPr>
                <w:rFonts w:ascii="仿宋_GB2312" w:hAnsi="仿宋_GB2312" w:cs="仿宋_GB2312" w:eastAsia="仿宋_GB2312"/>
                <w:sz w:val="24"/>
              </w:rPr>
              <w:t>所有货物在运输、搬运的过程中，造成采购单位损失的，由投标人承担。</w:t>
            </w:r>
          </w:p>
          <w:p>
            <w:pPr>
              <w:pStyle w:val="null3"/>
              <w:ind w:firstLine="480"/>
            </w:pPr>
            <w:r>
              <w:rPr>
                <w:rFonts w:ascii="仿宋_GB2312" w:hAnsi="仿宋_GB2312" w:cs="仿宋_GB2312" w:eastAsia="仿宋_GB2312"/>
                <w:sz w:val="24"/>
              </w:rPr>
              <w:t>6.3</w:t>
            </w:r>
            <w:r>
              <w:rPr>
                <w:rFonts w:ascii="仿宋_GB2312" w:hAnsi="仿宋_GB2312" w:cs="仿宋_GB2312" w:eastAsia="仿宋_GB2312"/>
                <w:sz w:val="24"/>
              </w:rPr>
              <w:t>投标人可根据交货期、运输条件自行选择运输方式（另有规定的除外），承担一切运输费用。</w:t>
            </w:r>
          </w:p>
          <w:p>
            <w:pPr>
              <w:pStyle w:val="null3"/>
              <w:ind w:firstLine="480"/>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售后服务要求</w:t>
            </w:r>
          </w:p>
          <w:p>
            <w:pPr>
              <w:pStyle w:val="null3"/>
              <w:ind w:firstLine="480"/>
            </w:pPr>
            <w:r>
              <w:rPr>
                <w:rFonts w:ascii="仿宋_GB2312" w:hAnsi="仿宋_GB2312" w:cs="仿宋_GB2312" w:eastAsia="仿宋_GB2312"/>
                <w:sz w:val="24"/>
                <w:color w:val="000000"/>
              </w:rPr>
              <w:t>7.1中标人须指派专人负责与采购人联系售后服务事宜；</w:t>
            </w:r>
          </w:p>
          <w:p>
            <w:pPr>
              <w:pStyle w:val="null3"/>
              <w:ind w:firstLine="480"/>
            </w:pPr>
            <w:r>
              <w:rPr>
                <w:rFonts w:ascii="仿宋_GB2312" w:hAnsi="仿宋_GB2312" w:cs="仿宋_GB2312" w:eastAsia="仿宋_GB2312"/>
                <w:sz w:val="24"/>
                <w:color w:val="000000"/>
              </w:rPr>
              <w:t>7.2质保期内，中标人负责对其提供的货物进行更换，不再收取任何费用，但不可抗力（如火灾、雷击等）造成的故障除外；</w:t>
            </w:r>
          </w:p>
          <w:p>
            <w:pPr>
              <w:pStyle w:val="null3"/>
              <w:ind w:firstLine="480"/>
            </w:pPr>
            <w:r>
              <w:rPr>
                <w:rFonts w:ascii="仿宋_GB2312" w:hAnsi="仿宋_GB2312" w:cs="仿宋_GB2312" w:eastAsia="仿宋_GB2312"/>
                <w:sz w:val="24"/>
                <w:color w:val="000000"/>
              </w:rPr>
              <w:t>7.3中标人在接到甲方通知后须3小时内完成更换，并承担更换的费用；</w:t>
            </w:r>
          </w:p>
          <w:p>
            <w:pPr>
              <w:pStyle w:val="null3"/>
              <w:ind w:firstLine="480"/>
            </w:pPr>
            <w:r>
              <w:rPr>
                <w:rFonts w:ascii="仿宋_GB2312" w:hAnsi="仿宋_GB2312" w:cs="仿宋_GB2312" w:eastAsia="仿宋_GB2312"/>
                <w:sz w:val="24"/>
                <w:color w:val="000000"/>
              </w:rPr>
              <w:t>7.4所有货物服务方式均为中标人上门服务，即由中标人派人员到货物使用现场更换，由此产生的一切费用均由中标人承担；</w:t>
            </w:r>
          </w:p>
          <w:p>
            <w:pPr>
              <w:pStyle w:val="null3"/>
              <w:ind w:firstLine="480"/>
            </w:pPr>
            <w:r>
              <w:rPr>
                <w:rFonts w:ascii="仿宋_GB2312" w:hAnsi="仿宋_GB2312" w:cs="仿宋_GB2312" w:eastAsia="仿宋_GB2312"/>
                <w:sz w:val="24"/>
                <w:color w:val="000000"/>
              </w:rPr>
              <w:t>7.5产品“三包”要求：货物（产品）属于国家规定的“三包产品”，产品制造商、经销代理商应遵守“三包”的规定，在产品发生质量问题时，及时对所提供产品实行“包退、包换、保修”服务</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482"/>
            </w:pPr>
            <w:r>
              <w:rPr>
                <w:rFonts w:ascii="仿宋_GB2312" w:hAnsi="仿宋_GB2312" w:cs="仿宋_GB2312" w:eastAsia="仿宋_GB2312"/>
                <w:sz w:val="24"/>
                <w:b/>
                <w:color w:val="000000"/>
              </w:rPr>
              <w:t>三、其他</w:t>
            </w:r>
          </w:p>
          <w:p>
            <w:pPr>
              <w:pStyle w:val="null3"/>
              <w:ind w:firstLine="480"/>
            </w:pPr>
            <w:r>
              <w:rPr>
                <w:rFonts w:ascii="仿宋_GB2312" w:hAnsi="仿宋_GB2312" w:cs="仿宋_GB2312" w:eastAsia="仿宋_GB2312"/>
                <w:sz w:val="24"/>
              </w:rPr>
              <w:t>1、验收</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1）由采购人实施验收。</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2）验收依据：验收须以合同、招投标文件、澄清及国家相应的标准、规范等为依据。</w:t>
            </w:r>
          </w:p>
          <w:p>
            <w:pPr>
              <w:pStyle w:val="null3"/>
              <w:ind w:firstLine="480"/>
              <w:jc w:val="left"/>
            </w:pPr>
            <w:r>
              <w:rPr>
                <w:rFonts w:ascii="仿宋_GB2312" w:hAnsi="仿宋_GB2312" w:cs="仿宋_GB2312" w:eastAsia="仿宋_GB2312"/>
                <w:sz w:val="24"/>
                <w:color w:val="000000"/>
              </w:rPr>
              <w:t>2、付款</w:t>
            </w:r>
          </w:p>
          <w:p>
            <w:pPr>
              <w:pStyle w:val="null3"/>
              <w:ind w:firstLine="480"/>
            </w:pPr>
            <w:r>
              <w:rPr>
                <w:rFonts w:ascii="仿宋_GB2312" w:hAnsi="仿宋_GB2312" w:cs="仿宋_GB2312" w:eastAsia="仿宋_GB2312"/>
                <w:sz w:val="24"/>
                <w:color w:val="000000"/>
              </w:rPr>
              <w:t>本采购项目无预付款，供应商采购并配送完所有货物后一个月之内无质量问题支付</w:t>
            </w:r>
            <w:r>
              <w:rPr>
                <w:rFonts w:ascii="仿宋_GB2312" w:hAnsi="仿宋_GB2312" w:cs="仿宋_GB2312" w:eastAsia="仿宋_GB2312"/>
                <w:sz w:val="24"/>
                <w:color w:val="000000"/>
              </w:rPr>
              <w:t>100%货款。（产品配送时须具备检测报告或食品检验合格证并经采购人验收合格方可配送）</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自合同签订后2个日历日内完成备货，备货完成后2个日历日内配送至临潼区下属的22个街办及11个驻临部队（至少满足同时配送5个驻临部队）</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供应商采购并配送完所有货物后（产品配送时须具备检测报告或食品检验合格证并经采购人验收合格方可配送）</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（1）由采购人实施验收。 （2）验收依据：验收须以合同、招投标文件、澄清及国家相应的标准、规范等为依据。</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依据合同约定及招标文件执行。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本合同约定，成交供应商未全面履行合同义务或者发生违约，采购人会同采购代理机构有权终止合同，依法向成交供应商进行经济索赔，并报请政府采购监督管理机关进行相应的行政处罚。采购人违约的，应当赔偿给成交供应商造成的经济损失。合同执行中发生争议的，当事人双方应协商解决，协商达不成一致时，可向人民法院提请诉讼。</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供应商需要在线提交所有通过电子化交易平台实施的政府采购项目的响应文件，同时，线下递交响应文件，正本壹份、副本贰份，电子文件（U盘）壹份，电子文件随正本密封。若线上电子响应文件与纸质响应文件不一致以电子响应文件为准；若正本和副本不符，以正本为准。 线下递交时间同线上响应文件递交截止时间 ；线下递交文件地点陕西省西安市未央区凤城八路与贞观路十字向北200米天和广场803室</w:t>
      </w:r>
    </w:p>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响应文件提交截止时间结束后，由资格性审查小组依据法律法规和询价通知书的规定，对响应文件中的资格证明等进行审查，以确定被邀请参加询价采购活动的供应商名单并出具资格审查报告。</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法人代表证明书或法人授权委托书</w:t>
            </w:r>
          </w:p>
        </w:tc>
        <w:tc>
          <w:tcPr>
            <w:tcW w:type="dxa" w:w="3322"/>
          </w:tcPr>
          <w:p>
            <w:pPr>
              <w:pStyle w:val="null3"/>
            </w:pPr>
            <w:r>
              <w:rPr>
                <w:rFonts w:ascii="仿宋_GB2312" w:hAnsi="仿宋_GB2312" w:cs="仿宋_GB2312" w:eastAsia="仿宋_GB2312"/>
              </w:rPr>
              <w:t>法人代表证明书或法人授权委托书，后附法人及被委托人身份证（法定代表人直接参加开标的只需提供法定代表人身份证）；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提供2024年度经审计的财务审计报告 (成立时间至开标时间不足一年的可提供成立后任意时段的资产负债表）或开标截止时间前六个月内其基本账户银行出具的资信证明或政府采购信用担保机构出具的担保函；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税收和社保证明</w:t>
            </w:r>
          </w:p>
        </w:tc>
        <w:tc>
          <w:tcPr>
            <w:tcW w:type="dxa" w:w="3322"/>
          </w:tcPr>
          <w:p>
            <w:pPr>
              <w:pStyle w:val="null3"/>
            </w:pPr>
            <w:r>
              <w:rPr>
                <w:rFonts w:ascii="仿宋_GB2312" w:hAnsi="仿宋_GB2312" w:cs="仿宋_GB2312" w:eastAsia="仿宋_GB2312"/>
              </w:rPr>
              <w:t>提供投标截止时间前一年内任意一个月（任意税种）的依法缴纳的税收和社保证明（社会保障资金缴存单据或社保机构开具的社会保险参保缴费情况证明）；依法免税或不需要缴纳社会保障资金的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三年内没有重大违法记录的声明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履行合同所必需的设备和专业技术能力的书面声明</w:t>
            </w:r>
          </w:p>
        </w:tc>
        <w:tc>
          <w:tcPr>
            <w:tcW w:type="dxa" w:w="3322"/>
          </w:tcPr>
          <w:p>
            <w:pPr>
              <w:pStyle w:val="null3"/>
            </w:pPr>
            <w:r>
              <w:rPr>
                <w:rFonts w:ascii="仿宋_GB2312" w:hAnsi="仿宋_GB2312" w:cs="仿宋_GB2312" w:eastAsia="仿宋_GB2312"/>
              </w:rPr>
              <w:t>履行合同所必需的设备和专业技术能力的书面声明；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和重大税收违法失信主体的供应商，不得为中国政府采购网（www.ccgp.gov.cn）政府采购严重违法失信行为记录名单中被财政部门禁止参加政府采购活动的供应商（提供报名时间后的网页查询结果截图）；</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供应商为生产厂家的须提供《食品生产许可证》；代理商须提供本单位《食品经营许可证》或《预包装食品经营者备案表》；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第五章 询价方法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二、评审工作由代理机构负责组织，具体评审事务由采购人和代理机构依法组建的询价小组负责。询价小组由采购人代表和评审专家组成。</w:t>
      </w:r>
    </w:p>
    <w:p>
      <w:pPr>
        <w:pStyle w:val="null3"/>
        <w:ind w:firstLine="480"/>
      </w:pPr>
      <w:r>
        <w:rPr>
          <w:rFonts w:ascii="仿宋_GB2312" w:hAnsi="仿宋_GB2312" w:cs="仿宋_GB2312" w:eastAsia="仿宋_GB2312"/>
        </w:rPr>
        <w:t>三、评审工作应遵循公平、公正、科学及择优的原则，并以相同的评审程序和标准对待所有的供应商。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四、本项目采取电子评审，通过项目电子化交易系统完成评审工作。询价小组成员和供应商应当按照本采购文件规定和项目电子化交易系统操作要求开展或者参加评审活动。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互认的证书及签章加盖其电子印章后生效。出现无法在线签章的特殊情况，询价小组成员可以线下签署协商报告，由代理机构对原件扫描后以附件形式上传。</w:t>
      </w:r>
    </w:p>
    <w:p>
      <w:pPr>
        <w:pStyle w:val="null3"/>
        <w:ind w:firstLine="480"/>
      </w:pPr>
      <w:r>
        <w:rPr>
          <w:rFonts w:ascii="仿宋_GB2312" w:hAnsi="仿宋_GB2312" w:cs="仿宋_GB2312" w:eastAsia="仿宋_GB2312"/>
        </w:rPr>
        <w:t>六、询价小组按照询价通知书规定的询价采购活动程序进行评审，并在采购活动中应当履行下列职责：</w:t>
      </w:r>
    </w:p>
    <w:p>
      <w:pPr>
        <w:pStyle w:val="null3"/>
        <w:ind w:firstLine="480"/>
      </w:pPr>
      <w:r>
        <w:rPr>
          <w:rFonts w:ascii="仿宋_GB2312" w:hAnsi="仿宋_GB2312" w:cs="仿宋_GB2312" w:eastAsia="仿宋_GB2312"/>
        </w:rPr>
        <w:t>（一）熟悉和理解询价通知书；</w:t>
      </w:r>
    </w:p>
    <w:p>
      <w:pPr>
        <w:pStyle w:val="null3"/>
        <w:ind w:firstLine="480"/>
      </w:pPr>
      <w:r>
        <w:rPr>
          <w:rFonts w:ascii="仿宋_GB2312" w:hAnsi="仿宋_GB2312" w:cs="仿宋_GB2312" w:eastAsia="仿宋_GB2312"/>
        </w:rPr>
        <w:t>（二）审查供应商响应文件等是否满足询价通知书要求，并作出评价；</w:t>
      </w:r>
    </w:p>
    <w:p>
      <w:pPr>
        <w:pStyle w:val="null3"/>
        <w:ind w:firstLine="480"/>
      </w:pPr>
      <w:r>
        <w:rPr>
          <w:rFonts w:ascii="仿宋_GB2312" w:hAnsi="仿宋_GB2312" w:cs="仿宋_GB2312" w:eastAsia="仿宋_GB2312"/>
        </w:rPr>
        <w:t xml:space="preserve"> （三）根据需要要求采购组织单位对询价通知书作出解释；根据需要要求供应商对响应文件有关事项作出澄清、说明或者更正；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ind w:firstLine="480"/>
      </w:pPr>
      <w:r>
        <w:rPr>
          <w:rFonts w:ascii="仿宋_GB2312" w:hAnsi="仿宋_GB2312" w:cs="仿宋_GB2312" w:eastAsia="仿宋_GB2312"/>
        </w:rPr>
        <w:t>七、评审过程独立、保密。供应商非法干预评审过程的行为将导致其响应文件作为无效处理。</w:t>
      </w:r>
    </w:p>
    <w:p>
      <w:pPr>
        <w:pStyle w:val="null3"/>
        <w:ind w:firstLine="480"/>
      </w:pPr>
      <w:r>
        <w:rPr>
          <w:rFonts w:ascii="仿宋_GB2312" w:hAnsi="仿宋_GB2312" w:cs="仿宋_GB2312" w:eastAsia="仿宋_GB2312"/>
        </w:rPr>
        <w:t xml:space="preserve"> 八、询价小组决定响应文件的响应性依据响应文件本身的内容，而不寻求外部的证据，询价通知书有明确约定的除外。</w:t>
      </w:r>
    </w:p>
    <w:p>
      <w:pPr>
        <w:pStyle w:val="null3"/>
        <w:ind w:firstLine="480"/>
      </w:pPr>
      <w:r>
        <w:rPr>
          <w:rFonts w:ascii="仿宋_GB2312" w:hAnsi="仿宋_GB2312" w:cs="仿宋_GB2312" w:eastAsia="仿宋_GB2312"/>
        </w:rPr>
        <w:t>九、询价小组发现询价通知书表述不明确或需要说明的事项，可提请采购人和代理机构书面解释说明。</w:t>
      </w:r>
    </w:p>
    <w:p>
      <w:pPr>
        <w:pStyle w:val="null3"/>
        <w:outlineLvl w:val="2"/>
      </w:pPr>
      <w:r>
        <w:rPr>
          <w:rFonts w:ascii="仿宋_GB2312" w:hAnsi="仿宋_GB2312" w:cs="仿宋_GB2312" w:eastAsia="仿宋_GB2312"/>
          <w:sz w:val="28"/>
          <w:b/>
        </w:rPr>
        <w:t>5.2询价小组组建</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outlineLvl w:val="2"/>
      </w:pPr>
      <w:r>
        <w:rPr>
          <w:rFonts w:ascii="仿宋_GB2312" w:hAnsi="仿宋_GB2312" w:cs="仿宋_GB2312" w:eastAsia="仿宋_GB2312"/>
          <w:sz w:val="28"/>
          <w:b/>
        </w:rPr>
        <w:t>5.3评审程序</w:t>
      </w:r>
    </w:p>
    <w:p>
      <w:pPr>
        <w:pStyle w:val="null3"/>
        <w:outlineLvl w:val="3"/>
      </w:pPr>
      <w:r>
        <w:rPr>
          <w:rFonts w:ascii="仿宋_GB2312" w:hAnsi="仿宋_GB2312" w:cs="仿宋_GB2312" w:eastAsia="仿宋_GB2312"/>
          <w:sz w:val="24"/>
          <w:b/>
        </w:rPr>
        <w:t>5.3.1熟悉和理解询价通知书和停止评审</w:t>
      </w:r>
    </w:p>
    <w:p>
      <w:pPr>
        <w:pStyle w:val="null3"/>
        <w:ind w:firstLine="480"/>
      </w:pPr>
      <w:r>
        <w:rPr>
          <w:rFonts w:ascii="仿宋_GB2312" w:hAnsi="仿宋_GB2312" w:cs="仿宋_GB2312" w:eastAsia="仿宋_GB2312"/>
        </w:rPr>
        <w:t xml:space="preserve"> 一、询价小组正式评审前，应当对询价通知书进行熟悉和理解，内容主要包括询价通知书中供应商的采购项目技术、服务和商务要求、评审方法和标准以及可能涉及签订政府采购合同的内容等。</w:t>
      </w:r>
    </w:p>
    <w:p>
      <w:pPr>
        <w:pStyle w:val="null3"/>
        <w:ind w:firstLine="480"/>
      </w:pPr>
      <w:r>
        <w:rPr>
          <w:rFonts w:ascii="仿宋_GB2312" w:hAnsi="仿宋_GB2312" w:cs="仿宋_GB2312" w:eastAsia="仿宋_GB2312"/>
        </w:rPr>
        <w:t xml:space="preserve"> 二、询价小组熟悉和理解询价通知书以及评审过程中，发现本询价通知书有下列情形之一的，询价小组应当停止评审：</w:t>
      </w:r>
    </w:p>
    <w:p>
      <w:pPr>
        <w:pStyle w:val="null3"/>
        <w:ind w:firstLine="480"/>
      </w:pPr>
      <w:r>
        <w:rPr>
          <w:rFonts w:ascii="仿宋_GB2312" w:hAnsi="仿宋_GB2312" w:cs="仿宋_GB2312" w:eastAsia="仿宋_GB2312"/>
        </w:rPr>
        <w:t>（一）询价通知书的规定存在歧义、重大缺陷的；</w:t>
      </w:r>
    </w:p>
    <w:p>
      <w:pPr>
        <w:pStyle w:val="null3"/>
        <w:ind w:firstLine="480"/>
      </w:pPr>
      <w:r>
        <w:rPr>
          <w:rFonts w:ascii="仿宋_GB2312" w:hAnsi="仿宋_GB2312" w:cs="仿宋_GB2312" w:eastAsia="仿宋_GB2312"/>
        </w:rPr>
        <w:t>（二）询价通知书明显以不合理条件对供应商实行差别待遇或者歧视待遇的；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（三）采购项目属于国家规定的优先、强制采购范围，但是询价通知书未依法体现优先、强制采购相关规定的；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（四）采购项目属于政府采购促进中小企业发展的范围，但是询价通知书未依法体现促进中小企业发展相关规定的；</w:t>
      </w:r>
    </w:p>
    <w:p>
      <w:pPr>
        <w:pStyle w:val="null3"/>
        <w:ind w:firstLine="480"/>
      </w:pPr>
      <w:r>
        <w:rPr>
          <w:rFonts w:ascii="仿宋_GB2312" w:hAnsi="仿宋_GB2312" w:cs="仿宋_GB2312" w:eastAsia="仿宋_GB2312"/>
        </w:rPr>
        <w:t>（五）询价通知书将供应商的资格条件列为评分因素的；</w:t>
      </w:r>
    </w:p>
    <w:p>
      <w:pPr>
        <w:pStyle w:val="null3"/>
        <w:ind w:firstLine="480"/>
      </w:pPr>
      <w:r>
        <w:rPr>
          <w:rFonts w:ascii="仿宋_GB2312" w:hAnsi="仿宋_GB2312" w:cs="仿宋_GB2312" w:eastAsia="仿宋_GB2312"/>
        </w:rPr>
        <w:t>（六）询价通知书载明的成交原则不合法的；</w:t>
      </w:r>
    </w:p>
    <w:p>
      <w:pPr>
        <w:pStyle w:val="null3"/>
        <w:ind w:firstLine="480"/>
      </w:pPr>
      <w:r>
        <w:rPr>
          <w:rFonts w:ascii="仿宋_GB2312" w:hAnsi="仿宋_GB2312" w:cs="仿宋_GB2312" w:eastAsia="仿宋_GB2312"/>
        </w:rPr>
        <w:t>（七）询价通知书有违反国家其他有关强制性规定的情形。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出现上述应当停止评审情形的，询价小组应当通过项目电子化交易系统向采购组织单位提交相关说明材料，说明停止评审的情形和具体理由。除上述情形外，询价小组不得以任何方式和理由停止评审。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询价小组不应当停止评审的，可以通过项目电子化交易系统书面报告采购项目同级财政部门依法处理，并提供相关证明材料。</w:t>
      </w:r>
    </w:p>
    <w:p>
      <w:pPr>
        <w:pStyle w:val="null3"/>
        <w:outlineLvl w:val="3"/>
      </w:pPr>
      <w:r>
        <w:rPr>
          <w:rFonts w:ascii="仿宋_GB2312" w:hAnsi="仿宋_GB2312" w:cs="仿宋_GB2312" w:eastAsia="仿宋_GB2312"/>
          <w:sz w:val="24"/>
          <w:b/>
        </w:rPr>
        <w:t>5.3.2符合性审查</w:t>
      </w:r>
    </w:p>
    <w:p>
      <w:pPr>
        <w:pStyle w:val="null3"/>
        <w:ind w:firstLine="480"/>
      </w:pPr>
      <w:r>
        <w:rPr>
          <w:rFonts w:ascii="仿宋_GB2312" w:hAnsi="仿宋_GB2312" w:cs="仿宋_GB2312" w:eastAsia="仿宋_GB2312"/>
        </w:rPr>
        <w:t xml:space="preserve"> 询价小组依据本询价通知书的实质性要求，对符合资格的询价通知书进行审查，以确定其是否满足本询价通知书的实质性要求。本项目符合性审查事项，必须以本询价通知书的明确规定的实质性要求作为依据。在符合性审查过程中，如果出现询价小组成员意见不一致的情况，按照少数服从多数的原则作出结论，但不得违背政府采购基本原则和询价通知书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审过程中，询价小组认为供应商的报价明显低于其他实质性响应的供应商报价，有可能影响产品质量或者不能诚信履约的，询价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询价小组要求的时间内通过项目电子化交易系统进行提交，否则提交的相关证明材料无效。供应商不能证明其报价合理性的，询价小组应当将其响应文件作为无效处理。</w:t>
            </w:r>
          </w:p>
        </w:tc>
        <w:tc>
          <w:tcPr>
            <w:tcW w:type="dxa" w:w="1661"/>
          </w:tcPr>
          <w:p>
            <w:pPr>
              <w:pStyle w:val="null3"/>
            </w:pPr>
            <w:r>
              <w:rPr>
                <w:rFonts w:ascii="仿宋_GB2312" w:hAnsi="仿宋_GB2312" w:cs="仿宋_GB2312" w:eastAsia="仿宋_GB2312"/>
              </w:rPr>
              <w:t>分项报价表.docx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符合招标文件有关签署、盖章要求</w:t>
            </w:r>
          </w:p>
        </w:tc>
        <w:tc>
          <w:tcPr>
            <w:tcW w:type="dxa" w:w="1661"/>
          </w:tcPr>
          <w:p>
            <w:pPr>
              <w:pStyle w:val="null3"/>
            </w:pPr>
            <w:r>
              <w:rPr>
                <w:rFonts w:ascii="仿宋_GB2312" w:hAnsi="仿宋_GB2312" w:cs="仿宋_GB2312" w:eastAsia="仿宋_GB2312"/>
              </w:rPr>
              <w:t>响应文件封面 产品技术参数表 分项报价表.docx 供应商应提交的相关资格证明材料.docx 中小企业声明函 残疾人福利性单位声明函 商务应答表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只能有一个有效报价，不得提交选择性报价，且报价不超出 最高限价金额。</w:t>
            </w:r>
          </w:p>
        </w:tc>
        <w:tc>
          <w:tcPr>
            <w:tcW w:type="dxa" w:w="1661"/>
          </w:tcPr>
          <w:p>
            <w:pPr>
              <w:pStyle w:val="null3"/>
            </w:pPr>
            <w:r>
              <w:rPr>
                <w:rFonts w:ascii="仿宋_GB2312" w:hAnsi="仿宋_GB2312" w:cs="仿宋_GB2312" w:eastAsia="仿宋_GB2312"/>
              </w:rPr>
              <w:t>分项报价表.docx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供货期</w:t>
            </w:r>
          </w:p>
        </w:tc>
        <w:tc>
          <w:tcPr>
            <w:tcW w:type="dxa" w:w="3322"/>
          </w:tcPr>
          <w:p>
            <w:pPr>
              <w:pStyle w:val="null3"/>
            </w:pPr>
            <w:r>
              <w:rPr>
                <w:rFonts w:ascii="仿宋_GB2312" w:hAnsi="仿宋_GB2312" w:cs="仿宋_GB2312" w:eastAsia="仿宋_GB2312"/>
              </w:rPr>
              <w:t>符合招标文件中的供货期</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 产品技术参数表 分项报价表.docx 供应商应提交的相关资格证明材料.docx 中小企业声明函 残疾人福利性单位声明函 商务应答表 标的清单 报价表 响应函 监狱企业的证明文件</w:t>
            </w:r>
          </w:p>
        </w:tc>
      </w:tr>
    </w:tbl>
    <w:p>
      <w:pPr>
        <w:pStyle w:val="null3"/>
        <w:outlineLvl w:val="3"/>
      </w:pPr>
      <w:r>
        <w:rPr>
          <w:rFonts w:ascii="仿宋_GB2312" w:hAnsi="仿宋_GB2312" w:cs="仿宋_GB2312" w:eastAsia="仿宋_GB2312"/>
          <w:sz w:val="24"/>
          <w:b/>
        </w:rPr>
        <w:t>5.3.3价格扣除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中小企业声明函 残疾人福利性单位声明函 监狱企业的证明文件</w:t>
            </w:r>
          </w:p>
        </w:tc>
      </w:tr>
    </w:tbl>
    <w:p>
      <w:pPr>
        <w:pStyle w:val="null3"/>
        <w:ind w:firstLine="480"/>
      </w:pPr>
      <w:r>
        <w:rPr>
          <w:rFonts w:ascii="仿宋_GB2312" w:hAnsi="仿宋_GB2312" w:cs="仿宋_GB2312" w:eastAsia="仿宋_GB2312"/>
        </w:rPr>
        <w:t>注：</w:t>
      </w:r>
    </w:p>
    <w:p>
      <w:pPr>
        <w:pStyle w:val="null3"/>
        <w:ind w:firstLine="480"/>
      </w:pPr>
      <w:r>
        <w:rPr>
          <w:rFonts w:ascii="仿宋_GB2312" w:hAnsi="仿宋_GB2312" w:cs="仿宋_GB2312" w:eastAsia="仿宋_GB2312"/>
        </w:rPr>
        <w:t xml:space="preserve"> 1.参加政府采购活动的中小企业应当提供《中小企业声明函》。监狱企业应当提供监狱企业证明复印件。残疾人福利性单位应当提供《残疾人福利性单位声明函》。（格式详见第六章）未提供的，视为放弃享受小微企业价格扣除优惠政策。</w:t>
      </w:r>
    </w:p>
    <w:p>
      <w:pPr>
        <w:pStyle w:val="null3"/>
        <w:ind w:firstLine="480"/>
      </w:pPr>
      <w:r>
        <w:rPr>
          <w:rFonts w:ascii="仿宋_GB2312" w:hAnsi="仿宋_GB2312" w:cs="仿宋_GB2312" w:eastAsia="仿宋_GB2312"/>
        </w:rPr>
        <w:t xml:space="preserve"> 2.组成联合体或者接受分包的小微企业与联合体内其他企业、分包企业之间存在直接控股、管理关系的，不享受价格扣除优惠政策。</w:t>
      </w:r>
    </w:p>
    <w:p>
      <w:pPr>
        <w:pStyle w:val="null3"/>
        <w:ind w:firstLine="480"/>
      </w:pPr>
      <w:r>
        <w:rPr>
          <w:rFonts w:ascii="仿宋_GB2312" w:hAnsi="仿宋_GB2312" w:cs="仿宋_GB2312" w:eastAsia="仿宋_GB2312"/>
        </w:rPr>
        <w:t xml:space="preserve"> 3.依据《政府采购促进中小企业发展管理办法》（财库〔2020〕46号）规定享受扶持政策的小微企业，不得将合同分包给大中型企业，中型企业不得将合同分包给大型企业。</w:t>
      </w:r>
    </w:p>
    <w:p>
      <w:pPr>
        <w:pStyle w:val="null3"/>
        <w:outlineLvl w:val="3"/>
      </w:pPr>
      <w:r>
        <w:rPr>
          <w:rFonts w:ascii="仿宋_GB2312" w:hAnsi="仿宋_GB2312" w:cs="仿宋_GB2312" w:eastAsia="仿宋_GB2312"/>
          <w:sz w:val="24"/>
          <w:b/>
        </w:rPr>
        <w:t>5.3.4解释、澄清、说明的有关问题</w:t>
      </w:r>
    </w:p>
    <w:p>
      <w:pPr>
        <w:pStyle w:val="null3"/>
        <w:ind w:firstLine="480"/>
      </w:pPr>
      <w:r>
        <w:rPr>
          <w:rFonts w:ascii="仿宋_GB2312" w:hAnsi="仿宋_GB2312" w:cs="仿宋_GB2312" w:eastAsia="仿宋_GB2312"/>
        </w:rPr>
        <w:t xml:space="preserve"> 一、评审过程中，询价小组认为询价通知书有关事项表述不明确或需要说明的，可以提请代理机构书面解释。代理机构的解释不得改变询价通知书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询价小组应当要求供应商作出必要的澄清、说明或更正，并给予供应商必要的反馈时间。供应商应当按询价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询价通知书变为响应询价通知书的条件。下列内容不得澄清：</w:t>
      </w:r>
    </w:p>
    <w:p>
      <w:pPr>
        <w:pStyle w:val="null3"/>
        <w:ind w:firstLine="480"/>
      </w:pPr>
      <w:r>
        <w:rPr>
          <w:rFonts w:ascii="仿宋_GB2312" w:hAnsi="仿宋_GB2312" w:cs="仿宋_GB2312" w:eastAsia="仿宋_GB2312"/>
        </w:rPr>
        <w:t>（一）供应商响应文件中不响应询价通知书规定的技术参数指标和商务应答；</w:t>
      </w:r>
    </w:p>
    <w:p>
      <w:pPr>
        <w:pStyle w:val="null3"/>
        <w:ind w:firstLine="480"/>
      </w:pPr>
      <w:r>
        <w:rPr>
          <w:rFonts w:ascii="仿宋_GB2312" w:hAnsi="仿宋_GB2312" w:cs="仿宋_GB2312" w:eastAsia="仿宋_GB2312"/>
        </w:rPr>
        <w:t>（二）供应商响应文件中未提供的证明其是否符合询价通知书资格、符合性规定要求的相关材料。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四、报价出现下列情况的，按以下原则处理：</w:t>
      </w:r>
    </w:p>
    <w:p>
      <w:pPr>
        <w:pStyle w:val="null3"/>
        <w:ind w:firstLine="480"/>
      </w:pPr>
      <w:r>
        <w:rPr>
          <w:rFonts w:ascii="仿宋_GB2312" w:hAnsi="仿宋_GB2312" w:cs="仿宋_GB2312" w:eastAsia="仿宋_GB2312"/>
        </w:rPr>
        <w:t>（一）大写金额和小写金额不一致的，以大写金额为准，但大写金额出现文字错误，导致金额无法判断的除外；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（二）单价金额小数点或者百分比有明显错位的，以开启一览表总价为准，并修改单价；</w:t>
      </w:r>
    </w:p>
    <w:p>
      <w:pPr>
        <w:pStyle w:val="null3"/>
        <w:ind w:firstLine="480"/>
      </w:pPr>
      <w:r>
        <w:rPr>
          <w:rFonts w:ascii="仿宋_GB2312" w:hAnsi="仿宋_GB2312" w:cs="仿宋_GB2312" w:eastAsia="仿宋_GB2312"/>
        </w:rPr>
        <w:t>（三）总价金额与按单价汇总金额不一致的，以单价金额计算结果为准。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同时出现两种以上不一致的，按照前款规定的顺序修正。修正后的报价经供应商确认后产生约束力，供应商不确认的，其响应无效。</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五、代理机构宣布评审结束前，供应商应通过项目电子化交易系统随时关注评审消息提示，及时响应询价小组发出的澄清、说明或更正要求。供应商未能及时响应的，自行承担不利后果。</w:t>
      </w:r>
    </w:p>
    <w:p>
      <w:pPr>
        <w:pStyle w:val="null3"/>
        <w:ind w:firstLine="480"/>
      </w:pPr>
      <w:r>
        <w:rPr>
          <w:rFonts w:ascii="仿宋_GB2312" w:hAnsi="仿宋_GB2312" w:cs="仿宋_GB2312" w:eastAsia="仿宋_GB2312"/>
        </w:rPr>
        <w:t>六、询价小组应当积极履行澄清、说明或者更正的职责，不得滥用权力。</w:t>
      </w:r>
    </w:p>
    <w:p>
      <w:pPr>
        <w:pStyle w:val="null3"/>
        <w:outlineLvl w:val="3"/>
      </w:pPr>
      <w:r>
        <w:rPr>
          <w:rFonts w:ascii="仿宋_GB2312" w:hAnsi="仿宋_GB2312" w:cs="仿宋_GB2312" w:eastAsia="仿宋_GB2312"/>
          <w:sz w:val="24"/>
          <w:b/>
        </w:rPr>
        <w:t>5.3.5复核</w:t>
      </w:r>
    </w:p>
    <w:p>
      <w:pPr>
        <w:pStyle w:val="null3"/>
        <w:ind w:firstLine="480"/>
      </w:pPr>
      <w:r>
        <w:rPr>
          <w:rFonts w:ascii="仿宋_GB2312" w:hAnsi="仿宋_GB2312" w:cs="仿宋_GB2312" w:eastAsia="仿宋_GB2312"/>
        </w:rPr>
        <w:t xml:space="preserve"> 一、评审结束后，询价小组应当进行复核，特别要对拟推荐为成交候选供应商的、报价最低的、响应文件被认定为无效的进行重点复核。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询价小组拟出具评审报告前，代理机构应当组织2名以上的工作人员，在采购现场监督人员的监督之下，依据有关的法律制度和询价通知书对评审结果进行复核，出具复核报告。代理机构复核过程中，询价小组成员不得离开评审现场。</w:t>
      </w:r>
    </w:p>
    <w:p>
      <w:pPr>
        <w:pStyle w:val="null3"/>
        <w:ind w:firstLine="480"/>
      </w:pPr>
      <w:r>
        <w:rPr>
          <w:rFonts w:ascii="仿宋_GB2312" w:hAnsi="仿宋_GB2312" w:cs="仿宋_GB2312" w:eastAsia="仿宋_GB2312"/>
        </w:rPr>
        <w:t xml:space="preserve"> 三、除资格审查认定错误和价格计算错误外，采购人或者采购代理机构不得以任何理由组织重新评审。采购人、采购代理机构发现询价小组未按照询价通知书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5.3.6推荐成交候选供应商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5.3.7编写询价报告</w:t>
      </w:r>
    </w:p>
    <w:p>
      <w:pPr>
        <w:pStyle w:val="null3"/>
        <w:ind w:firstLine="480"/>
      </w:pPr>
      <w:r>
        <w:rPr>
          <w:rFonts w:ascii="仿宋_GB2312" w:hAnsi="仿宋_GB2312" w:cs="仿宋_GB2312" w:eastAsia="仿宋_GB2312"/>
        </w:rPr>
        <w:t>询价小组项目在电子化交易系统中编制评审情况，生成询价报告。</w:t>
      </w:r>
    </w:p>
    <w:p>
      <w:pPr>
        <w:pStyle w:val="null3"/>
        <w:ind w:firstLine="480"/>
      </w:pPr>
      <w:r>
        <w:rPr>
          <w:rFonts w:ascii="仿宋_GB2312" w:hAnsi="仿宋_GB2312" w:cs="仿宋_GB2312" w:eastAsia="仿宋_GB2312"/>
        </w:rPr>
        <w:t>询价报告是询价小组根据全体成员签字的原始评审记录和评审结果编写的报告，其主要内容包括：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二、响应文件开启日期和地点，询价小组成员名单；</w:t>
      </w:r>
    </w:p>
    <w:p>
      <w:pPr>
        <w:pStyle w:val="null3"/>
        <w:ind w:firstLine="480"/>
      </w:pPr>
      <w:r>
        <w:rPr>
          <w:rFonts w:ascii="仿宋_GB2312" w:hAnsi="仿宋_GB2312" w:cs="仿宋_GB2312" w:eastAsia="仿宋_GB2312"/>
        </w:rPr>
        <w:t>三、提交报价的供应商名单及报价情况，获取询价通知书但未提交报价的供应商名单；</w:t>
      </w:r>
    </w:p>
    <w:p>
      <w:pPr>
        <w:pStyle w:val="null3"/>
        <w:ind w:firstLine="480"/>
      </w:pPr>
      <w:r>
        <w:rPr>
          <w:rFonts w:ascii="仿宋_GB2312" w:hAnsi="仿宋_GB2312" w:cs="仿宋_GB2312" w:eastAsia="仿宋_GB2312"/>
        </w:rPr>
        <w:t xml:space="preserve"> 四、评审情况记录和说明，包括对供应商的资格审查情况、供应商响应文件评审情况、询价采购活动情况、报价情况等；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询价报告应当由询价小组全体人员签字或加盖电子签章认可。询价小组成员对询价报告有异议的，询价小组按照少数服从多数的原则推荐成交候选供应商，采购程序继续进行。对询价报告有异议的询价小组成员，应当在报告上签署不同意见并说明理由，由询价小组记录相关情况。询价小组成员拒绝在评审报告上签字或加盖电子签章又不说明其不同意见和理由的，视为同意评审报告。</w:t>
      </w:r>
    </w:p>
    <w:p>
      <w:pPr>
        <w:pStyle w:val="null3"/>
        <w:outlineLvl w:val="2"/>
      </w:pPr>
      <w:r>
        <w:rPr>
          <w:rFonts w:ascii="仿宋_GB2312" w:hAnsi="仿宋_GB2312" w:cs="仿宋_GB2312" w:eastAsia="仿宋_GB2312"/>
          <w:sz w:val="28"/>
          <w:b/>
        </w:rPr>
        <w:t>5.4争议处理规则</w:t>
      </w:r>
    </w:p>
    <w:p>
      <w:pPr>
        <w:pStyle w:val="null3"/>
        <w:ind w:firstLine="480"/>
      </w:pPr>
      <w:r>
        <w:rPr>
          <w:rFonts w:ascii="仿宋_GB2312" w:hAnsi="仿宋_GB2312" w:cs="仿宋_GB2312" w:eastAsia="仿宋_GB2312"/>
        </w:rPr>
        <w:t xml:space="preserve"> 在评审过程中，询价小组成员对响应文件是否符合询价通知书规定存在争议的，应当以少数服从多数的原则处理，但不得违背询价通知书规定。有不同意见的询价小组成员认为认定过程和结果不符合法律法规或者询价通知书规定的，应当在评审报告中予以反映。</w:t>
      </w:r>
    </w:p>
    <w:p>
      <w:pPr>
        <w:pStyle w:val="null3"/>
        <w:outlineLvl w:val="2"/>
      </w:pPr>
      <w:r>
        <w:rPr>
          <w:rFonts w:ascii="仿宋_GB2312" w:hAnsi="仿宋_GB2312" w:cs="仿宋_GB2312" w:eastAsia="仿宋_GB2312"/>
          <w:sz w:val="28"/>
          <w:b/>
        </w:rPr>
        <w:t>5.5终止采购活动</w:t>
      </w:r>
    </w:p>
    <w:p>
      <w:pPr>
        <w:pStyle w:val="null3"/>
        <w:ind w:firstLine="480"/>
      </w:pPr>
      <w:r>
        <w:rPr>
          <w:rFonts w:ascii="仿宋_GB2312" w:hAnsi="仿宋_GB2312" w:cs="仿宋_GB2312" w:eastAsia="仿宋_GB2312"/>
        </w:rPr>
        <w:t>出现下列情形之一的，终止询价采购活动：</w:t>
      </w:r>
    </w:p>
    <w:p>
      <w:pPr>
        <w:pStyle w:val="null3"/>
        <w:ind w:firstLine="480"/>
      </w:pPr>
      <w:r>
        <w:rPr>
          <w:rFonts w:ascii="仿宋_GB2312" w:hAnsi="仿宋_GB2312" w:cs="仿宋_GB2312" w:eastAsia="仿宋_GB2312"/>
        </w:rPr>
        <w:t>一、因情况变化，不再符合规定的询价采购方式适用情形的；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三、在采购过程中符合竞争要求的供应商或者报价未超过采购预算的供应商不足3家的。</w:t>
      </w:r>
    </w:p>
    <w:p>
      <w:pPr>
        <w:pStyle w:val="null3"/>
        <w:outlineLvl w:val="2"/>
      </w:pPr>
      <w:r>
        <w:rPr>
          <w:rFonts w:ascii="仿宋_GB2312" w:hAnsi="仿宋_GB2312" w:cs="仿宋_GB2312" w:eastAsia="仿宋_GB2312"/>
          <w:sz w:val="28"/>
          <w:b/>
        </w:rPr>
        <w:t>5.6确定成交供应商</w:t>
      </w:r>
    </w:p>
    <w:p>
      <w:pPr>
        <w:pStyle w:val="null3"/>
      </w:pPr>
      <w:r>
        <w:rPr>
          <w:rFonts w:ascii="仿宋_GB2312" w:hAnsi="仿宋_GB2312" w:cs="仿宋_GB2312" w:eastAsia="仿宋_GB2312"/>
        </w:rPr>
        <w:t>一、代理机构在评审结束后2个工作日内将评审报告送采购人确认。</w:t>
      </w:r>
    </w:p>
    <w:p>
      <w:pPr>
        <w:pStyle w:val="null3"/>
      </w:pPr>
      <w:r>
        <w:rPr>
          <w:rFonts w:ascii="仿宋_GB2312" w:hAnsi="仿宋_GB2312" w:cs="仿宋_GB2312" w:eastAsia="仿宋_GB2312"/>
        </w:rPr>
        <w:t>二、采购人在收到评审报告后5个工作日内，从评审报告提出的成交候选人中，根据质量和服务均能满足采购文件实质性响应要求且报价最低的原则确定成交供应商，也可以书面授权询价小组直接确定成交供应商。</w:t>
      </w:r>
    </w:p>
    <w:p>
      <w:pPr>
        <w:pStyle w:val="null3"/>
      </w:pPr>
      <w:r>
        <w:rPr>
          <w:rFonts w:ascii="仿宋_GB2312" w:hAnsi="仿宋_GB2312" w:cs="仿宋_GB2312" w:eastAsia="仿宋_GB2312"/>
        </w:rPr>
        <w:t>三、成交候选供应商并列的，由采购人、询价小组随机抽取确定成交供应商。</w:t>
      </w:r>
    </w:p>
    <w:p>
      <w:pPr>
        <w:pStyle w:val="null3"/>
      </w:pPr>
      <w:r>
        <w:rPr>
          <w:rFonts w:ascii="仿宋_GB2312" w:hAnsi="仿宋_GB2312" w:cs="仿宋_GB2312" w:eastAsia="仿宋_GB2312"/>
        </w:rPr>
        <w:t>四、采购人逾期未确定成交供应商且不提出异议的，视为确定评审报告提出的报价最低的供应商为成交供应商。</w:t>
      </w:r>
    </w:p>
    <w:p>
      <w:pPr>
        <w:pStyle w:val="null3"/>
        <w:outlineLvl w:val="2"/>
      </w:pPr>
      <w:r>
        <w:rPr>
          <w:rFonts w:ascii="仿宋_GB2312" w:hAnsi="仿宋_GB2312" w:cs="仿宋_GB2312" w:eastAsia="仿宋_GB2312"/>
          <w:sz w:val="28"/>
          <w:b/>
        </w:rPr>
        <w:t>5.7询价小组成员义务</w:t>
      </w:r>
    </w:p>
    <w:p>
      <w:pPr>
        <w:pStyle w:val="null3"/>
        <w:ind w:firstLine="480"/>
      </w:pPr>
      <w:r>
        <w:rPr>
          <w:rFonts w:ascii="仿宋_GB2312" w:hAnsi="仿宋_GB2312" w:cs="仿宋_GB2312" w:eastAsia="仿宋_GB2312"/>
        </w:rPr>
        <w:t>询价小组成员在政府采购活动中承担以下义务：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5.8询价采购活动纪律</w:t>
      </w:r>
    </w:p>
    <w:p>
      <w:pPr>
        <w:pStyle w:val="null3"/>
        <w:ind w:firstLine="480"/>
      </w:pPr>
      <w:r>
        <w:rPr>
          <w:rFonts w:ascii="仿宋_GB2312" w:hAnsi="仿宋_GB2312" w:cs="仿宋_GB2312" w:eastAsia="仿宋_GB2312"/>
        </w:rPr>
        <w:t>询价小组成员在政府采购活动中应当遵守以下工作纪律：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第七章 拟签订的合同文本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