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版本号：SCZB-2026-010220260106001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两专科一中心用房提升项目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SCZB-2026-0102</w:t>
      </w:r>
      <w:r>
        <w:br/>
      </w:r>
      <w:r>
        <w:br/>
      </w:r>
      <w:r>
        <w:br/>
      </w:r>
    </w:p>
    <w:p>
      <w:pPr>
        <w:pStyle w:val="null3"/>
        <w:jc w:val="center"/>
        <w:outlineLvl w:val="2"/>
      </w:pPr>
      <w:r>
        <w:rPr>
          <w:rFonts w:ascii="仿宋_GB2312" w:hAnsi="仿宋_GB2312" w:cs="仿宋_GB2312" w:eastAsia="仿宋_GB2312"/>
          <w:sz w:val="28"/>
          <w:b/>
        </w:rPr>
        <w:t>西安市临潼区中医医院</w:t>
      </w:r>
    </w:p>
    <w:p>
      <w:pPr>
        <w:pStyle w:val="null3"/>
        <w:jc w:val="center"/>
        <w:outlineLvl w:val="2"/>
      </w:pPr>
      <w:r>
        <w:rPr>
          <w:rFonts w:ascii="仿宋_GB2312" w:hAnsi="仿宋_GB2312" w:cs="仿宋_GB2312" w:eastAsia="仿宋_GB2312"/>
          <w:sz w:val="28"/>
          <w:b/>
        </w:rPr>
        <w:t>陕西圣宸建设项目咨询有限公司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陕西圣宸建设项目咨询有限公司</w:t>
      </w:r>
      <w:r>
        <w:rPr>
          <w:rFonts w:ascii="仿宋_GB2312" w:hAnsi="仿宋_GB2312" w:cs="仿宋_GB2312" w:eastAsia="仿宋_GB2312"/>
        </w:rPr>
        <w:t>（以下简称“代理机构”）受</w:t>
      </w:r>
      <w:r>
        <w:rPr>
          <w:rFonts w:ascii="仿宋_GB2312" w:hAnsi="仿宋_GB2312" w:cs="仿宋_GB2312" w:eastAsia="仿宋_GB2312"/>
        </w:rPr>
        <w:t>西安市临潼区中医医院</w:t>
      </w:r>
      <w:r>
        <w:rPr>
          <w:rFonts w:ascii="仿宋_GB2312" w:hAnsi="仿宋_GB2312" w:cs="仿宋_GB2312" w:eastAsia="仿宋_GB2312"/>
        </w:rPr>
        <w:t>委托，拟对</w:t>
      </w:r>
      <w:r>
        <w:rPr>
          <w:rFonts w:ascii="仿宋_GB2312" w:hAnsi="仿宋_GB2312" w:cs="仿宋_GB2312" w:eastAsia="仿宋_GB2312"/>
        </w:rPr>
        <w:t>两专科一中心用房提升项目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SCZB-2026-0102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两专科一中心用房提升项目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两专科一中心用房提升项目包含住院病区的设置（包含病房基本配套系统及病房装修、护士工作站、医生办公室设置）、急诊科建设、中医药适宜技术推广中心建设，具体施工内容详见工程量清单。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采购包1（两专科一中心用房提升项目）：属于专门面向中小企业采购。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1、主体资格证明文件：具有独立承担民事责任能力的法人或非法人组织或自然人，提供合法有效的统一社会信用代码的营业执照等证明文件，自然人提供身份证件</w:t>
      </w:r>
    </w:p>
    <w:p>
      <w:pPr>
        <w:pStyle w:val="null3"/>
      </w:pPr>
      <w:r>
        <w:rPr>
          <w:rFonts w:ascii="仿宋_GB2312" w:hAnsi="仿宋_GB2312" w:cs="仿宋_GB2312" w:eastAsia="仿宋_GB2312"/>
        </w:rPr>
        <w:t>2、法定代表人授权书：提供法定代表人授权委托书及被授权人身份证及被授权人近三个月在本单位社保缴纳的证明资料（投标人为法定代表人时，须提交法定代表人证明书及身份证复印件且与营业执照上信息须一致）</w:t>
      </w:r>
    </w:p>
    <w:p>
      <w:pPr>
        <w:pStyle w:val="null3"/>
      </w:pPr>
      <w:r>
        <w:rPr>
          <w:rFonts w:ascii="仿宋_GB2312" w:hAnsi="仿宋_GB2312" w:cs="仿宋_GB2312" w:eastAsia="仿宋_GB2312"/>
        </w:rPr>
        <w:t>3、社会保障资金缴纳证明：供应商在本项目磋商响应文件递交截止时间前十二个月内任意一个月的税收缴纳凭证及社会保险缴纳的凭证。依法免税或不需要缴纳社会保障资金的供应商，应提供相应文件证明其依法免税或不需要缴纳社会保障资金证明</w:t>
      </w:r>
    </w:p>
    <w:p>
      <w:pPr>
        <w:pStyle w:val="null3"/>
      </w:pPr>
      <w:r>
        <w:rPr>
          <w:rFonts w:ascii="仿宋_GB2312" w:hAnsi="仿宋_GB2312" w:cs="仿宋_GB2312" w:eastAsia="仿宋_GB2312"/>
        </w:rPr>
        <w:t>4、政府采购活动前3年内没有重大违法记录书面声明：参加政府采购活动前3年内在经营活动中没有重大违法记录的书面声明</w:t>
      </w:r>
    </w:p>
    <w:p>
      <w:pPr>
        <w:pStyle w:val="null3"/>
      </w:pPr>
      <w:r>
        <w:rPr>
          <w:rFonts w:ascii="仿宋_GB2312" w:hAnsi="仿宋_GB2312" w:cs="仿宋_GB2312" w:eastAsia="仿宋_GB2312"/>
        </w:rPr>
        <w:t>5、财务状况：供应商应提供2024年经审计的财务报告且出具的审计报告应当经过注册会计师行业统一监管平台备案赋码（事业法人可提供部门决算报告）或基本开户银行出具的资信证明或政府采购专业担保机构出具的投标担保函</w:t>
      </w:r>
    </w:p>
    <w:p>
      <w:pPr>
        <w:pStyle w:val="null3"/>
      </w:pPr>
      <w:r>
        <w:rPr>
          <w:rFonts w:ascii="仿宋_GB2312" w:hAnsi="仿宋_GB2312" w:cs="仿宋_GB2312" w:eastAsia="仿宋_GB2312"/>
        </w:rPr>
        <w:t>6、履行合同所必需的设备和专业技术能力书面声明函：提供具有履行合同所必需的设备和专业技术能力书面声明函</w:t>
      </w:r>
    </w:p>
    <w:p>
      <w:pPr>
        <w:pStyle w:val="null3"/>
      </w:pPr>
      <w:r>
        <w:rPr>
          <w:rFonts w:ascii="仿宋_GB2312" w:hAnsi="仿宋_GB2312" w:cs="仿宋_GB2312" w:eastAsia="仿宋_GB2312"/>
        </w:rPr>
        <w:t>7、供应商特殊资格要求：供应商具备建设行政主管部门颁发的建筑工程施工总承包三级及以上或建筑装饰装修工程专业承包二级及以上资质；同时具备有效的安全生产许可证</w:t>
      </w:r>
    </w:p>
    <w:p>
      <w:pPr>
        <w:pStyle w:val="null3"/>
      </w:pPr>
      <w:r>
        <w:rPr>
          <w:rFonts w:ascii="仿宋_GB2312" w:hAnsi="仿宋_GB2312" w:cs="仿宋_GB2312" w:eastAsia="仿宋_GB2312"/>
        </w:rPr>
        <w:t>8、拟派项目负责人资质及专业要求：供应商拟派项目负责人（项目经理）须具备建筑工程专业二级及以上注册建造师执业资格、在本单位注册并且具有安全生产考核合格证（B证）且无不良信用记录，无在建工程（提供承诺书）</w:t>
      </w:r>
    </w:p>
    <w:p>
      <w:pPr>
        <w:pStyle w:val="null3"/>
      </w:pPr>
      <w:r>
        <w:rPr>
          <w:rFonts w:ascii="仿宋_GB2312" w:hAnsi="仿宋_GB2312" w:cs="仿宋_GB2312" w:eastAsia="仿宋_GB2312"/>
        </w:rPr>
        <w:t>9、信用主体查询：不得为“信用中国”网站（www.cre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10、非联合体投标声明：本项目不接受联合体投标</w:t>
      </w:r>
    </w:p>
    <w:p>
      <w:pPr>
        <w:pStyle w:val="null3"/>
      </w:pPr>
      <w:r>
        <w:rPr>
          <w:rFonts w:ascii="仿宋_GB2312" w:hAnsi="仿宋_GB2312" w:cs="仿宋_GB2312" w:eastAsia="仿宋_GB2312"/>
        </w:rPr>
        <w:t>11、中小企业声明函：须符合财政部工业和信息化部《关于印发〈政府采购促进中小企业发展管理办法〉的通知》（财库〔2020〕46号）规定的中小企业参加，并提供《中小企业声明函 》</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临潼区南大街46号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任掌权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13572957969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陕西圣宸建设项目咨询有限公司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西安市经济技术开发区凤城二路海璟国际C2座606</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029-65693165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国家发展改革委关于降低部门建设项目收费标准规范收费行为等有关问题的通知》（发改价格〔2011〕534号）及《国家改革改革委办公厅关于招标代理服务收费有关问题的通知》（发改办价格[2003]857号）文件收费标准计取。 代理服务费收取账户： 户名：陕西圣宸建设项目咨询有限公司 账号：8111701011500592879 开户行：中信银行股份有限公司西安经济技术开发区支行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西安市临潼区中医医院</w:t>
      </w:r>
      <w:r>
        <w:rPr>
          <w:rFonts w:ascii="仿宋_GB2312" w:hAnsi="仿宋_GB2312" w:cs="仿宋_GB2312" w:eastAsia="仿宋_GB2312"/>
        </w:rPr>
        <w:t>和</w:t>
      </w:r>
      <w:r>
        <w:rPr>
          <w:rFonts w:ascii="仿宋_GB2312" w:hAnsi="仿宋_GB2312" w:cs="仿宋_GB2312" w:eastAsia="仿宋_GB2312"/>
        </w:rPr>
        <w:t>陕西圣宸建设项目咨询有限公司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陕西圣宸建设项目咨询有限公司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陕西圣宸建设项目咨询有限公司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 二、交付竣工验收的工程，必须符合规定的工程质量标准，有完整的工程技术经济资料和经签署的工程保修书，并具备国家规定的其他竣工条件。工程竣工经验收合格后，方可交付使用；未经验收或者验收不合格的，不得交付使用。 三、验收结果合格的，采购人应向成交供应商出具履约验收报告，成交供应商凭验收报告办理相关手续。 四、验收结果不合格的，履约保证金将不予退还，给采购人造成的损失超过履约保证金数额的，还应当对超过部分予以赔偿；没有提交履约保证金的，应当对采购人的损失承担赔偿责任。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陕西圣宸建设项目咨询有限公司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陕西圣宸建设项目咨询有限公司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陕西圣宸建设项目咨询有限公司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联系人：马倩</w:t>
      </w:r>
    </w:p>
    <w:p>
      <w:pPr>
        <w:pStyle w:val="null3"/>
      </w:pPr>
      <w:r>
        <w:rPr>
          <w:rFonts w:ascii="仿宋_GB2312" w:hAnsi="仿宋_GB2312" w:cs="仿宋_GB2312" w:eastAsia="仿宋_GB2312"/>
        </w:rPr>
        <w:t>联系电话：029-65693165</w:t>
      </w:r>
    </w:p>
    <w:p>
      <w:pPr>
        <w:pStyle w:val="null3"/>
      </w:pPr>
      <w:r>
        <w:rPr>
          <w:rFonts w:ascii="仿宋_GB2312" w:hAnsi="仿宋_GB2312" w:cs="仿宋_GB2312" w:eastAsia="仿宋_GB2312"/>
        </w:rPr>
        <w:t>地址：西安市经济技术开发区凤城二路海璟国际C2座606</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两专科一中心用房提升项目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标的名称：两专科一中心用房提升项目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980000.00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980000.00</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509"/>
              <w:gridCol w:w="342"/>
              <w:gridCol w:w="425"/>
            </w:tblGrid>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标的金额</w:t>
                  </w:r>
                  <w:r>
                    <w:rPr>
                      <w:rFonts w:ascii="仿宋_GB2312" w:hAnsi="仿宋_GB2312" w:cs="仿宋_GB2312" w:eastAsia="仿宋_GB2312"/>
                      <w:sz w:val="19"/>
                    </w:rPr>
                    <w:t>（元）</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r>
            <w:tr>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两专科一中心用房提升项目</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1.00</w:t>
                  </w:r>
                </w:p>
              </w:tc>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980000.00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w:t>
                  </w:r>
                </w:p>
              </w:tc>
              <w:tc>
                <w:tcPr>
                  <w:tcW w:type="dxa" w:w="4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r>
              <w:rPr>
                <w:rFonts w:ascii="仿宋_GB2312" w:hAnsi="仿宋_GB2312" w:cs="仿宋_GB2312" w:eastAsia="仿宋_GB2312"/>
              </w:rPr>
              <w:t>两专科一中心用房提升项目</w:t>
            </w:r>
          </w:p>
          <w:tbl>
            <w:tblPr>
              <w:tblBorders>
                <w:top w:val="none" w:color="000000" w:sz="4"/>
                <w:left w:val="none" w:color="000000" w:sz="4"/>
                <w:bottom w:val="none" w:color="000000" w:sz="4"/>
                <w:right w:val="none" w:color="000000" w:sz="4"/>
                <w:insideH w:val="none"/>
                <w:insideV w:val="none"/>
              </w:tblBorders>
            </w:tblPr>
            <w:tblGrid>
              <w:gridCol w:w="851"/>
              <w:gridCol w:w="486"/>
              <w:gridCol w:w="1216"/>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1.1</w:t>
                  </w:r>
                  <w:r>
                    <w:rPr>
                      <w:rFonts w:ascii="仿宋_GB2312" w:hAnsi="仿宋_GB2312" w:cs="仿宋_GB2312" w:eastAsia="仿宋_GB2312"/>
                      <w:sz w:val="20"/>
                      <w:b/>
                    </w:rPr>
                    <w:t>项目概况</w:t>
                  </w:r>
                </w:p>
                <w:p>
                  <w:pPr>
                    <w:pStyle w:val="null3"/>
                    <w:ind w:firstLine="480"/>
                  </w:pPr>
                  <w:r>
                    <w:rPr>
                      <w:rFonts w:ascii="仿宋_GB2312" w:hAnsi="仿宋_GB2312" w:cs="仿宋_GB2312" w:eastAsia="仿宋_GB2312"/>
                      <w:sz w:val="20"/>
                    </w:rPr>
                    <w:t>两专科一中心用房提升项目</w:t>
                  </w:r>
                  <w:r>
                    <w:rPr>
                      <w:rFonts w:ascii="仿宋_GB2312" w:hAnsi="仿宋_GB2312" w:cs="仿宋_GB2312" w:eastAsia="仿宋_GB2312"/>
                      <w:sz w:val="20"/>
                    </w:rPr>
                    <w:t>包含</w:t>
                  </w:r>
                  <w:r>
                    <w:rPr>
                      <w:rFonts w:ascii="仿宋_GB2312" w:hAnsi="仿宋_GB2312" w:cs="仿宋_GB2312" w:eastAsia="仿宋_GB2312"/>
                      <w:sz w:val="20"/>
                    </w:rPr>
                    <w:t>住院病区的设置（包含病房基本配套系统及病房装修、护士工作站、医生办公室</w:t>
                  </w:r>
                  <w:r>
                    <w:rPr>
                      <w:rFonts w:ascii="仿宋_GB2312" w:hAnsi="仿宋_GB2312" w:cs="仿宋_GB2312" w:eastAsia="仿宋_GB2312"/>
                      <w:sz w:val="20"/>
                    </w:rPr>
                    <w:t>设置</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急诊科建设</w:t>
                  </w:r>
                  <w:r>
                    <w:rPr>
                      <w:rFonts w:ascii="仿宋_GB2312" w:hAnsi="仿宋_GB2312" w:cs="仿宋_GB2312" w:eastAsia="仿宋_GB2312"/>
                      <w:sz w:val="20"/>
                    </w:rPr>
                    <w:t>、</w:t>
                  </w:r>
                  <w:r>
                    <w:rPr>
                      <w:rFonts w:ascii="仿宋_GB2312" w:hAnsi="仿宋_GB2312" w:cs="仿宋_GB2312" w:eastAsia="仿宋_GB2312"/>
                      <w:sz w:val="20"/>
                    </w:rPr>
                    <w:t>中医药适宜技术推广中心建设</w:t>
                  </w:r>
                  <w:r>
                    <w:rPr>
                      <w:rFonts w:ascii="仿宋_GB2312" w:hAnsi="仿宋_GB2312" w:cs="仿宋_GB2312" w:eastAsia="仿宋_GB2312"/>
                      <w:sz w:val="20"/>
                    </w:rPr>
                    <w:t>，具体施工</w:t>
                  </w:r>
                  <w:r>
                    <w:rPr>
                      <w:rFonts w:ascii="仿宋_GB2312" w:hAnsi="仿宋_GB2312" w:cs="仿宋_GB2312" w:eastAsia="仿宋_GB2312"/>
                      <w:sz w:val="20"/>
                    </w:rPr>
                    <w:t>内容</w:t>
                  </w:r>
                  <w:r>
                    <w:rPr>
                      <w:rFonts w:ascii="仿宋_GB2312" w:hAnsi="仿宋_GB2312" w:cs="仿宋_GB2312" w:eastAsia="仿宋_GB2312"/>
                      <w:sz w:val="20"/>
                    </w:rPr>
                    <w:t>详见工程量清单。</w:t>
                  </w:r>
                </w:p>
                <w:p>
                  <w:pPr>
                    <w:pStyle w:val="null3"/>
                    <w:jc w:val="both"/>
                  </w:pPr>
                  <w:r>
                    <w:rPr>
                      <w:rFonts w:ascii="仿宋_GB2312" w:hAnsi="仿宋_GB2312" w:cs="仿宋_GB2312" w:eastAsia="仿宋_GB2312"/>
                      <w:sz w:val="20"/>
                      <w:b/>
                    </w:rPr>
                    <w:t>1.2</w:t>
                  </w:r>
                  <w:r>
                    <w:rPr>
                      <w:rFonts w:ascii="仿宋_GB2312" w:hAnsi="仿宋_GB2312" w:cs="仿宋_GB2312" w:eastAsia="仿宋_GB2312"/>
                      <w:sz w:val="20"/>
                      <w:b/>
                    </w:rPr>
                    <w:t>技术、服务标准及要求</w:t>
                  </w:r>
                </w:p>
                <w:p>
                  <w:pPr>
                    <w:pStyle w:val="null3"/>
                    <w:ind w:firstLine="420"/>
                    <w:jc w:val="both"/>
                  </w:pPr>
                  <w:r>
                    <w:rPr>
                      <w:rFonts w:ascii="仿宋_GB2312" w:hAnsi="仿宋_GB2312" w:cs="仿宋_GB2312" w:eastAsia="仿宋_GB2312"/>
                      <w:sz w:val="20"/>
                    </w:rPr>
                    <w:t>采购包</w:t>
                  </w:r>
                  <w:r>
                    <w:rPr>
                      <w:rFonts w:ascii="仿宋_GB2312" w:hAnsi="仿宋_GB2312" w:cs="仿宋_GB2312" w:eastAsia="仿宋_GB2312"/>
                      <w:sz w:val="20"/>
                    </w:rPr>
                    <w:t>1：</w:t>
                  </w:r>
                </w:p>
                <w:p>
                  <w:pPr>
                    <w:pStyle w:val="null3"/>
                    <w:ind w:firstLine="420"/>
                    <w:jc w:val="both"/>
                  </w:pPr>
                  <w:r>
                    <w:rPr>
                      <w:rFonts w:ascii="仿宋_GB2312" w:hAnsi="仿宋_GB2312" w:cs="仿宋_GB2312" w:eastAsia="仿宋_GB2312"/>
                      <w:sz w:val="20"/>
                    </w:rPr>
                    <w:t>采购包预算金额（元）：</w:t>
                  </w:r>
                  <w:r>
                    <w:rPr>
                      <w:rFonts w:ascii="仿宋_GB2312" w:hAnsi="仿宋_GB2312" w:cs="仿宋_GB2312" w:eastAsia="仿宋_GB2312"/>
                      <w:sz w:val="20"/>
                    </w:rPr>
                    <w:t>980000.00</w:t>
                  </w:r>
                </w:p>
                <w:p>
                  <w:pPr>
                    <w:pStyle w:val="null3"/>
                    <w:ind w:firstLine="420"/>
                    <w:jc w:val="both"/>
                  </w:pPr>
                  <w:r>
                    <w:rPr>
                      <w:rFonts w:ascii="仿宋_GB2312" w:hAnsi="仿宋_GB2312" w:cs="仿宋_GB2312" w:eastAsia="仿宋_GB2312"/>
                      <w:sz w:val="20"/>
                    </w:rPr>
                    <w:t>采购包最高限价（元）：</w:t>
                  </w:r>
                  <w:r>
                    <w:rPr>
                      <w:rFonts w:ascii="仿宋_GB2312" w:hAnsi="仿宋_GB2312" w:cs="仿宋_GB2312" w:eastAsia="仿宋_GB2312"/>
                      <w:sz w:val="20"/>
                    </w:rPr>
                    <w:t>980000.00</w:t>
                  </w:r>
                </w:p>
                <w:p>
                  <w:pPr>
                    <w:pStyle w:val="null3"/>
                    <w:jc w:val="both"/>
                  </w:pPr>
                  <w:r>
                    <w:rPr>
                      <w:rFonts w:ascii="仿宋_GB2312" w:hAnsi="仿宋_GB2312" w:cs="仿宋_GB2312" w:eastAsia="仿宋_GB2312"/>
                      <w:sz w:val="20"/>
                      <w:b/>
                    </w:rPr>
                    <w:t>2.1计划工期、缺陷责任期、质量保修期</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1）计划工期：</w:t>
                  </w:r>
                  <w:r>
                    <w:rPr>
                      <w:rFonts w:ascii="仿宋_GB2312" w:hAnsi="仿宋_GB2312" w:cs="仿宋_GB2312" w:eastAsia="仿宋_GB2312"/>
                      <w:sz w:val="20"/>
                    </w:rPr>
                    <w:t>4</w:t>
                  </w:r>
                  <w:r>
                    <w:rPr>
                      <w:rFonts w:ascii="仿宋_GB2312" w:hAnsi="仿宋_GB2312" w:cs="仿宋_GB2312" w:eastAsia="仿宋_GB2312"/>
                      <w:sz w:val="20"/>
                    </w:rPr>
                    <w:t>0日历</w:t>
                  </w:r>
                  <w:r>
                    <w:rPr>
                      <w:rFonts w:ascii="仿宋_GB2312" w:hAnsi="仿宋_GB2312" w:cs="仿宋_GB2312" w:eastAsia="仿宋_GB2312"/>
                      <w:sz w:val="20"/>
                    </w:rPr>
                    <w:t>天</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2）缺陷责任期：</w:t>
                  </w:r>
                  <w:r>
                    <w:rPr>
                      <w:rFonts w:ascii="仿宋_GB2312" w:hAnsi="仿宋_GB2312" w:cs="仿宋_GB2312" w:eastAsia="仿宋_GB2312"/>
                      <w:sz w:val="20"/>
                    </w:rPr>
                    <w:t>5</w:t>
                  </w:r>
                  <w:r>
                    <w:rPr>
                      <w:rFonts w:ascii="仿宋_GB2312" w:hAnsi="仿宋_GB2312" w:cs="仿宋_GB2312" w:eastAsia="仿宋_GB2312"/>
                      <w:sz w:val="20"/>
                    </w:rPr>
                    <w:t>年</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3）质量保修期：</w:t>
                  </w:r>
                  <w:r>
                    <w:rPr>
                      <w:rFonts w:ascii="仿宋_GB2312" w:hAnsi="仿宋_GB2312" w:cs="仿宋_GB2312" w:eastAsia="仿宋_GB2312"/>
                      <w:sz w:val="20"/>
                    </w:rPr>
                    <w:t>5</w:t>
                  </w:r>
                  <w:r>
                    <w:rPr>
                      <w:rFonts w:ascii="仿宋_GB2312" w:hAnsi="仿宋_GB2312" w:cs="仿宋_GB2312" w:eastAsia="仿宋_GB2312"/>
                      <w:sz w:val="20"/>
                    </w:rPr>
                    <w:t>年</w:t>
                  </w:r>
                </w:p>
                <w:p>
                  <w:pPr>
                    <w:pStyle w:val="null3"/>
                  </w:pPr>
                  <w:r>
                    <w:rPr>
                      <w:rFonts w:ascii="仿宋_GB2312" w:hAnsi="仿宋_GB2312" w:cs="仿宋_GB2312" w:eastAsia="仿宋_GB2312"/>
                      <w:sz w:val="20"/>
                      <w:b/>
                    </w:rPr>
                    <w:t>2.2供应商针对本项目的施工，必须达到国家及行业现行技术规范标准，符合国家及行业验收</w:t>
                  </w:r>
                  <w:r>
                    <w:rPr>
                      <w:rFonts w:ascii="仿宋_GB2312" w:hAnsi="仿宋_GB2312" w:cs="仿宋_GB2312" w:eastAsia="仿宋_GB2312"/>
                      <w:sz w:val="20"/>
                      <w:b/>
                    </w:rPr>
                    <w:t>“</w:t>
                  </w:r>
                  <w:r>
                    <w:rPr>
                      <w:rFonts w:ascii="仿宋_GB2312" w:hAnsi="仿宋_GB2312" w:cs="仿宋_GB2312" w:eastAsia="仿宋_GB2312"/>
                      <w:sz w:val="20"/>
                      <w:b/>
                    </w:rPr>
                    <w:t>合格</w:t>
                  </w:r>
                  <w:r>
                    <w:rPr>
                      <w:rFonts w:ascii="仿宋_GB2312" w:hAnsi="仿宋_GB2312" w:cs="仿宋_GB2312" w:eastAsia="仿宋_GB2312"/>
                      <w:sz w:val="20"/>
                      <w:b/>
                    </w:rPr>
                    <w:t>”</w:t>
                  </w:r>
                  <w:r>
                    <w:rPr>
                      <w:rFonts w:ascii="仿宋_GB2312" w:hAnsi="仿宋_GB2312" w:cs="仿宋_GB2312" w:eastAsia="仿宋_GB2312"/>
                      <w:sz w:val="20"/>
                      <w:b/>
                    </w:rPr>
                    <w:t>标准：</w:t>
                  </w:r>
                </w:p>
                <w:p>
                  <w:pPr>
                    <w:pStyle w:val="null3"/>
                  </w:pPr>
                  <w:r>
                    <w:rPr>
                      <w:rFonts w:ascii="仿宋_GB2312" w:hAnsi="仿宋_GB2312" w:cs="仿宋_GB2312" w:eastAsia="仿宋_GB2312"/>
                      <w:sz w:val="20"/>
                      <w:b/>
                    </w:rPr>
                    <w:t>2.3施工要求</w:t>
                  </w:r>
                </w:p>
                <w:p>
                  <w:pPr>
                    <w:pStyle w:val="null3"/>
                  </w:pPr>
                  <w:r>
                    <w:rPr>
                      <w:rFonts w:ascii="仿宋_GB2312" w:hAnsi="仿宋_GB2312" w:cs="仿宋_GB2312" w:eastAsia="仿宋_GB2312"/>
                      <w:sz w:val="20"/>
                    </w:rPr>
                    <w:t>2.3.1办理工程相关施工手续，确保工程符合国家及地方相关施工管理规定，保证合法合规施工。</w:t>
                  </w:r>
                </w:p>
                <w:p>
                  <w:pPr>
                    <w:pStyle w:val="null3"/>
                  </w:pPr>
                  <w:r>
                    <w:rPr>
                      <w:rFonts w:ascii="仿宋_GB2312" w:hAnsi="仿宋_GB2312" w:cs="仿宋_GB2312" w:eastAsia="仿宋_GB2312"/>
                      <w:sz w:val="20"/>
                    </w:rPr>
                    <w:t>2.3.2在施工期间，中标供应商必须在不影响医院的正常医疗秩序的条件下施工，施工方应保障医院内人员安全。</w:t>
                  </w:r>
                </w:p>
                <w:p>
                  <w:pPr>
                    <w:pStyle w:val="null3"/>
                  </w:pPr>
                  <w:r>
                    <w:rPr>
                      <w:rFonts w:ascii="仿宋_GB2312" w:hAnsi="仿宋_GB2312" w:cs="仿宋_GB2312" w:eastAsia="仿宋_GB2312"/>
                      <w:sz w:val="20"/>
                    </w:rPr>
                    <w:t>2.3.3加强安全措施，并对施工人员进行安全教育。施工人员必须持证上岗。</w:t>
                  </w:r>
                </w:p>
                <w:p>
                  <w:pPr>
                    <w:pStyle w:val="null3"/>
                  </w:pPr>
                  <w:r>
                    <w:rPr>
                      <w:rFonts w:ascii="仿宋_GB2312" w:hAnsi="仿宋_GB2312" w:cs="仿宋_GB2312" w:eastAsia="仿宋_GB2312"/>
                      <w:sz w:val="20"/>
                    </w:rPr>
                    <w:t>2.3.4施工单位应充分考虑项目施工地点和工程的特殊性，必要时充分做好到封闭施工。</w:t>
                  </w:r>
                </w:p>
                <w:p>
                  <w:pPr>
                    <w:pStyle w:val="null3"/>
                  </w:pPr>
                  <w:r>
                    <w:rPr>
                      <w:rFonts w:ascii="仿宋_GB2312" w:hAnsi="仿宋_GB2312" w:cs="仿宋_GB2312" w:eastAsia="仿宋_GB2312"/>
                      <w:sz w:val="20"/>
                    </w:rPr>
                    <w:t>2.3.5参与本项目的施工人员进行高空作业时，需持有高空作业相关资质证书方可进行施工。</w:t>
                  </w:r>
                </w:p>
                <w:p>
                  <w:pPr>
                    <w:pStyle w:val="null3"/>
                  </w:pPr>
                  <w:r>
                    <w:rPr>
                      <w:rFonts w:ascii="仿宋_GB2312" w:hAnsi="仿宋_GB2312" w:cs="仿宋_GB2312" w:eastAsia="仿宋_GB2312"/>
                      <w:sz w:val="20"/>
                    </w:rPr>
                    <w:t>2.3.6中标供应商应对施工现场的安全负责，在整个施工过程中，不得出现任何事故，在进行高空/楼顶作业时，应采取必要措施避免意外事故及高空坠落，否则由此造成的一切后果均由中标供应商承担。</w:t>
                  </w:r>
                </w:p>
                <w:p>
                  <w:pPr>
                    <w:pStyle w:val="null3"/>
                  </w:pPr>
                  <w:r>
                    <w:rPr>
                      <w:rFonts w:ascii="仿宋_GB2312" w:hAnsi="仿宋_GB2312" w:cs="仿宋_GB2312" w:eastAsia="仿宋_GB2312"/>
                      <w:sz w:val="20"/>
                    </w:rPr>
                    <w:t>2.3.</w:t>
                  </w:r>
                  <w:r>
                    <w:rPr>
                      <w:rFonts w:ascii="仿宋_GB2312" w:hAnsi="仿宋_GB2312" w:cs="仿宋_GB2312" w:eastAsia="仿宋_GB2312"/>
                      <w:sz w:val="20"/>
                    </w:rPr>
                    <w:t>7</w:t>
                  </w:r>
                  <w:r>
                    <w:rPr>
                      <w:rFonts w:ascii="仿宋_GB2312" w:hAnsi="仿宋_GB2312" w:cs="仿宋_GB2312" w:eastAsia="仿宋_GB2312"/>
                      <w:sz w:val="20"/>
                    </w:rPr>
                    <w:t>若因本项目合同履行造成采购人、中标供应商、各方工作人员或任意第三方人身损害或财产损失的，由中标供应商承担全部责任，若采购人因此遭到索赔的，有权向中标供应商追偿。</w:t>
                  </w:r>
                </w:p>
                <w:p>
                  <w:pPr>
                    <w:pStyle w:val="null3"/>
                  </w:pPr>
                  <w:r>
                    <w:rPr>
                      <w:rFonts w:ascii="仿宋_GB2312" w:hAnsi="仿宋_GB2312" w:cs="仿宋_GB2312" w:eastAsia="仿宋_GB2312"/>
                      <w:sz w:val="20"/>
                      <w:b/>
                    </w:rPr>
                    <w:t>2.4计价依据</w:t>
                  </w:r>
                </w:p>
                <w:p>
                  <w:pPr>
                    <w:pStyle w:val="null3"/>
                    <w:ind w:firstLine="482"/>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依据陕西省工程建设标准《建设工程工程量清单计价标准》</w:t>
                  </w:r>
                  <w:r>
                    <w:rPr>
                      <w:rFonts w:ascii="仿宋_GB2312" w:hAnsi="仿宋_GB2312" w:cs="仿宋_GB2312" w:eastAsia="仿宋_GB2312"/>
                      <w:sz w:val="20"/>
                    </w:rPr>
                    <w:t>DB61/T5126-2025；</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依据《陕西省建设工程费用规则》（</w:t>
                  </w:r>
                  <w:r>
                    <w:rPr>
                      <w:rFonts w:ascii="仿宋_GB2312" w:hAnsi="仿宋_GB2312" w:cs="仿宋_GB2312" w:eastAsia="仿宋_GB2312"/>
                      <w:sz w:val="20"/>
                    </w:rPr>
                    <w:t>2025）；</w:t>
                  </w:r>
                </w:p>
                <w:p>
                  <w:pPr>
                    <w:pStyle w:val="null3"/>
                    <w:ind w:firstLine="482"/>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依据陕西省工程建设标准《房屋建筑与装饰工程工程量计算标准》</w:t>
                  </w:r>
                  <w:r>
                    <w:rPr>
                      <w:rFonts w:ascii="仿宋_GB2312" w:hAnsi="仿宋_GB2312" w:cs="仿宋_GB2312" w:eastAsia="仿宋_GB2312"/>
                      <w:sz w:val="20"/>
                    </w:rPr>
                    <w:t>DB61/T 5129-2025、陕西省工程建设标准《通用安装工程工程量计算标准》DB61/T 5130-2025；</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本工程增值税计税方式为一般计税方法，增值税税率为</w:t>
                  </w:r>
                  <w:r>
                    <w:rPr>
                      <w:rFonts w:ascii="仿宋_GB2312" w:hAnsi="仿宋_GB2312" w:cs="仿宋_GB2312" w:eastAsia="仿宋_GB2312"/>
                      <w:sz w:val="20"/>
                    </w:rPr>
                    <w:t>9%；</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w:t>
                  </w:r>
                  <w:r>
                    <w:rPr>
                      <w:rFonts w:ascii="仿宋_GB2312" w:hAnsi="仿宋_GB2312" w:cs="仿宋_GB2312" w:eastAsia="仿宋_GB2312"/>
                      <w:sz w:val="20"/>
                    </w:rPr>
                    <w:t>按照正常的施工条件、合理施工工期、施工工艺；</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w:t>
                  </w:r>
                  <w:r>
                    <w:rPr>
                      <w:rFonts w:ascii="仿宋_GB2312" w:hAnsi="仿宋_GB2312" w:cs="仿宋_GB2312" w:eastAsia="仿宋_GB2312"/>
                      <w:sz w:val="20"/>
                    </w:rPr>
                    <w:t>其他相关资料；</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w:t>
                  </w:r>
                  <w:r>
                    <w:rPr>
                      <w:rFonts w:ascii="仿宋_GB2312" w:hAnsi="仿宋_GB2312" w:cs="仿宋_GB2312" w:eastAsia="仿宋_GB2312"/>
                      <w:sz w:val="20"/>
                    </w:rPr>
                    <w:t>采用新点清单造价陕西版（版本号：</w:t>
                  </w:r>
                  <w:r>
                    <w:rPr>
                      <w:rFonts w:ascii="仿宋_GB2312" w:hAnsi="仿宋_GB2312" w:cs="仿宋_GB2312" w:eastAsia="仿宋_GB2312"/>
                      <w:sz w:val="20"/>
                    </w:rPr>
                    <w:t>V11.2.1.04SP6 正式版）。</w:t>
                  </w:r>
                </w:p>
              </w:tc>
            </w:tr>
          </w:tbl>
          <w:p>
            <w:pPr>
              <w:pStyle w:val="null3"/>
              <w:numPr>
                <w:ilvl w:val="0"/>
                <w:numId w:val="1"/>
              </w:numPr>
            </w:pPr>
            <w:r>
              <w:rPr>
                <w:rFonts w:ascii="仿宋_GB2312" w:hAnsi="仿宋_GB2312" w:cs="仿宋_GB2312" w:eastAsia="仿宋_GB2312"/>
              </w:rPr>
              <w:t>供应商针对本项目的施工，必须达到国家及行业现行技术规范标准，符合国家及行业验收</w:t>
            </w:r>
            <w:r>
              <w:rPr>
                <w:rFonts w:ascii="仿宋_GB2312" w:hAnsi="仿宋_GB2312" w:cs="仿宋_GB2312" w:eastAsia="仿宋_GB2312"/>
              </w:rPr>
              <w:t>“</w:t>
            </w:r>
            <w:r>
              <w:rPr>
                <w:rFonts w:ascii="仿宋_GB2312" w:hAnsi="仿宋_GB2312" w:cs="仿宋_GB2312" w:eastAsia="仿宋_GB2312"/>
              </w:rPr>
              <w:t>合格</w:t>
            </w:r>
            <w:r>
              <w:rPr>
                <w:rFonts w:ascii="仿宋_GB2312" w:hAnsi="仿宋_GB2312" w:cs="仿宋_GB2312" w:eastAsia="仿宋_GB2312"/>
              </w:rPr>
              <w:t>”</w:t>
            </w:r>
            <w:r>
              <w:rPr>
                <w:rFonts w:ascii="仿宋_GB2312" w:hAnsi="仿宋_GB2312" w:cs="仿宋_GB2312" w:eastAsia="仿宋_GB2312"/>
              </w:rPr>
              <w:t>标准</w:t>
            </w:r>
            <w:r>
              <w:rPr>
                <w:rFonts w:ascii="仿宋_GB2312" w:hAnsi="仿宋_GB2312" w:cs="仿宋_GB2312" w:eastAsia="仿宋_GB2312"/>
              </w:rPr>
              <w:t>。</w:t>
            </w:r>
          </w:p>
          <w:p>
            <w:pPr>
              <w:pStyle w:val="null3"/>
              <w:ind w:firstLine="400"/>
            </w:pPr>
            <w:r>
              <w:rPr>
                <w:rFonts w:ascii="仿宋_GB2312" w:hAnsi="仿宋_GB2312" w:cs="仿宋_GB2312" w:eastAsia="仿宋_GB2312"/>
              </w:rPr>
              <w:t>三、工程内容：</w:t>
            </w:r>
          </w:p>
          <w:p>
            <w:pPr>
              <w:pStyle w:val="null3"/>
              <w:ind w:firstLine="400"/>
            </w:pPr>
            <w:r>
              <w:rPr>
                <w:rFonts w:ascii="仿宋_GB2312" w:hAnsi="仿宋_GB2312" w:cs="仿宋_GB2312" w:eastAsia="仿宋_GB2312"/>
              </w:rPr>
              <w:t>采购包</w:t>
            </w:r>
            <w:r>
              <w:rPr>
                <w:rFonts w:ascii="仿宋_GB2312" w:hAnsi="仿宋_GB2312" w:cs="仿宋_GB2312" w:eastAsia="仿宋_GB2312"/>
              </w:rPr>
              <w:t>1：</w:t>
            </w:r>
          </w:p>
          <w:p>
            <w:pPr>
              <w:pStyle w:val="null3"/>
              <w:ind w:firstLine="400"/>
            </w:pPr>
            <w:r>
              <w:rPr>
                <w:rFonts w:ascii="仿宋_GB2312" w:hAnsi="仿宋_GB2312" w:cs="仿宋_GB2312" w:eastAsia="仿宋_GB2312"/>
              </w:rPr>
              <w:t>1.住院病区的设置（包含病房基本配套系统及病房装修、护士工作站、医生办公室设置）；</w:t>
            </w:r>
          </w:p>
          <w:p>
            <w:pPr>
              <w:pStyle w:val="null3"/>
              <w:ind w:firstLine="400"/>
            </w:pPr>
            <w:r>
              <w:rPr>
                <w:rFonts w:ascii="仿宋_GB2312" w:hAnsi="仿宋_GB2312" w:cs="仿宋_GB2312" w:eastAsia="仿宋_GB2312"/>
              </w:rPr>
              <w:t>2.急诊科建设；</w:t>
            </w:r>
          </w:p>
          <w:p>
            <w:pPr>
              <w:pStyle w:val="null3"/>
              <w:ind w:firstLine="400"/>
            </w:pPr>
            <w:r>
              <w:rPr>
                <w:rFonts w:ascii="仿宋_GB2312" w:hAnsi="仿宋_GB2312" w:cs="仿宋_GB2312" w:eastAsia="仿宋_GB2312"/>
              </w:rPr>
              <w:t>3.中医药适宜技术推广中心建设。</w:t>
            </w:r>
          </w:p>
          <w:p>
            <w:pPr>
              <w:pStyle w:val="null3"/>
              <w:ind w:firstLine="480"/>
            </w:pPr>
            <w:r>
              <w:rPr>
                <w:rFonts w:ascii="仿宋_GB2312" w:hAnsi="仿宋_GB2312" w:cs="仿宋_GB2312" w:eastAsia="仿宋_GB2312"/>
              </w:rPr>
              <w:t>四</w:t>
            </w:r>
            <w:r>
              <w:rPr>
                <w:rFonts w:ascii="仿宋_GB2312" w:hAnsi="仿宋_GB2312" w:cs="仿宋_GB2312" w:eastAsia="仿宋_GB2312"/>
              </w:rPr>
              <w:t>、针对本项目的其他技术服务要求：</w:t>
            </w:r>
          </w:p>
          <w:p>
            <w:pPr>
              <w:pStyle w:val="null3"/>
              <w:ind w:firstLine="400"/>
            </w:pPr>
            <w:r>
              <w:rPr>
                <w:rFonts w:ascii="仿宋_GB2312" w:hAnsi="仿宋_GB2312" w:cs="仿宋_GB2312" w:eastAsia="仿宋_GB2312"/>
              </w:rPr>
              <w:t>1、办理工程相关施工手续，确保工程符合国家及地方相关施工管理规定，保证合法合规施工;</w:t>
            </w:r>
          </w:p>
          <w:p>
            <w:pPr>
              <w:pStyle w:val="null3"/>
              <w:ind w:firstLine="400"/>
            </w:pPr>
            <w:r>
              <w:rPr>
                <w:rFonts w:ascii="仿宋_GB2312" w:hAnsi="仿宋_GB2312" w:cs="仿宋_GB2312" w:eastAsia="仿宋_GB2312"/>
              </w:rPr>
              <w:t>2、在施工期间，中标供应商必须在不影响医院的正常医疗秩序的条件下施工，施工方应保障医院内人员安全;</w:t>
            </w:r>
          </w:p>
          <w:p>
            <w:pPr>
              <w:pStyle w:val="null3"/>
              <w:ind w:firstLine="400"/>
            </w:pPr>
            <w:r>
              <w:rPr>
                <w:rFonts w:ascii="仿宋_GB2312" w:hAnsi="仿宋_GB2312" w:cs="仿宋_GB2312" w:eastAsia="仿宋_GB2312"/>
              </w:rPr>
              <w:t>3、加强安全措施，并对施工人员进行安全教育。施工人员必须持证上岗;</w:t>
            </w:r>
          </w:p>
          <w:p>
            <w:pPr>
              <w:pStyle w:val="null3"/>
              <w:ind w:firstLine="400"/>
            </w:pPr>
            <w:r>
              <w:rPr>
                <w:rFonts w:ascii="仿宋_GB2312" w:hAnsi="仿宋_GB2312" w:cs="仿宋_GB2312" w:eastAsia="仿宋_GB2312"/>
              </w:rPr>
              <w:t>4、施工单位应充分考虑项目施工地点和工程的特殊性，必要时充分做好到封闭施工;</w:t>
            </w:r>
          </w:p>
          <w:p>
            <w:pPr>
              <w:pStyle w:val="null3"/>
              <w:ind w:firstLine="400"/>
            </w:pPr>
            <w:r>
              <w:rPr>
                <w:rFonts w:ascii="仿宋_GB2312" w:hAnsi="仿宋_GB2312" w:cs="仿宋_GB2312" w:eastAsia="仿宋_GB2312"/>
              </w:rPr>
              <w:t>5、参与本项目的施工人员进行高空作业时，需持有高空作业相关资质证书方可进行施工;</w:t>
            </w:r>
          </w:p>
          <w:p>
            <w:pPr>
              <w:pStyle w:val="null3"/>
              <w:ind w:firstLine="400"/>
            </w:pPr>
            <w:r>
              <w:rPr>
                <w:rFonts w:ascii="仿宋_GB2312" w:hAnsi="仿宋_GB2312" w:cs="仿宋_GB2312" w:eastAsia="仿宋_GB2312"/>
              </w:rPr>
              <w:t>6、中标供应商应对施工现场的安全负责，在整个施工过程中，不得出现任何事故，在进行高空/楼顶作业时，应采取必要措施避免意外事故及高空坠落，否则由此造成的一切后果均由中标供应商承担;</w:t>
            </w:r>
          </w:p>
          <w:p>
            <w:pPr>
              <w:pStyle w:val="null3"/>
              <w:ind w:firstLine="400"/>
            </w:pPr>
            <w:r>
              <w:rPr>
                <w:rFonts w:ascii="仿宋_GB2312" w:hAnsi="仿宋_GB2312" w:cs="仿宋_GB2312" w:eastAsia="仿宋_GB2312"/>
              </w:rPr>
              <w:t>7、若因本项目合同履行造成采购人、中标供应商、各方工作人员或任意第三方人身损害或财产损失的，由中标供应商承担全部责任，若采购人因此遭到索赔的，有权向中标供应商追偿。</w:t>
            </w:r>
          </w:p>
          <w:p>
            <w:pPr>
              <w:pStyle w:val="null3"/>
              <w:ind w:firstLine="480"/>
            </w:pPr>
            <w:r>
              <w:rPr>
                <w:rFonts w:ascii="仿宋_GB2312" w:hAnsi="仿宋_GB2312" w:cs="仿宋_GB2312" w:eastAsia="仿宋_GB2312"/>
              </w:rPr>
              <w:t>五</w:t>
            </w:r>
            <w:r>
              <w:rPr>
                <w:rFonts w:ascii="仿宋_GB2312" w:hAnsi="仿宋_GB2312" w:cs="仿宋_GB2312" w:eastAsia="仿宋_GB2312"/>
              </w:rPr>
              <w:t>、工程量清单（详见附件）</w:t>
            </w:r>
          </w:p>
          <w:p>
            <w:pPr>
              <w:pStyle w:val="null3"/>
              <w:ind w:firstLine="480"/>
            </w:pPr>
            <w:r>
              <w:rPr>
                <w:rFonts w:ascii="仿宋_GB2312" w:hAnsi="仿宋_GB2312" w:cs="仿宋_GB2312" w:eastAsia="仿宋_GB2312"/>
              </w:rPr>
              <w:t>（说明：工程量清单应当结合《政府采购需求管理办法》（财库〔</w:t>
            </w:r>
            <w:r>
              <w:rPr>
                <w:rFonts w:ascii="仿宋_GB2312" w:hAnsi="仿宋_GB2312" w:cs="仿宋_GB2312" w:eastAsia="仿宋_GB2312"/>
              </w:rPr>
              <w:t>2021〕22号）第六条第二款规定，明确相关性能、材料、结构、外观、安全、标准等。）</w:t>
            </w:r>
          </w:p>
          <w:p>
            <w:pPr>
              <w:pStyle w:val="null3"/>
            </w:pPr>
            <w:r>
              <w:rPr>
                <w:rFonts w:ascii="仿宋_GB2312" w:hAnsi="仿宋_GB2312" w:cs="仿宋_GB2312" w:eastAsia="仿宋_GB2312"/>
                <w:sz w:val="28"/>
                <w:b/>
              </w:rPr>
              <w:t>3.2商务要求（说明：由采购人依据项目具体需求制定）</w:t>
            </w:r>
          </w:p>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要求</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项目经理</w:t>
                  </w:r>
                  <w:r>
                    <w:rPr>
                      <w:rFonts w:ascii="仿宋_GB2312" w:hAnsi="仿宋_GB2312" w:cs="仿宋_GB2312" w:eastAsia="仿宋_GB2312"/>
                      <w:sz w:val="19"/>
                    </w:rPr>
                    <w:t>（项目经理）</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具体要求详见资格审查条款</w:t>
                  </w:r>
                </w:p>
              </w:tc>
            </w:tr>
          </w:tbl>
          <w:p>
            <w:pPr>
              <w:pStyle w:val="nul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w:t>
            </w:r>
            <w:r>
              <w:rPr>
                <w:rFonts w:ascii="仿宋_GB2312" w:hAnsi="仿宋_GB2312" w:cs="仿宋_GB2312" w:eastAsia="仿宋_GB2312"/>
              </w:rPr>
              <w:t>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w:t>
            </w:r>
            <w:r>
              <w:rPr>
                <w:rFonts w:ascii="仿宋_GB2312" w:hAnsi="仿宋_GB2312" w:cs="仿宋_GB2312" w:eastAsia="仿宋_GB2312"/>
              </w:rPr>
              <w:t>3.若要求供应商提供相关人员的职业资格的，不得要求提供除现行《国家职业资格目录》以外的职业资格，不得以不合理条件对供应商实行差别待遇或者歧视性待遇。</w:t>
            </w:r>
          </w:p>
          <w:p>
            <w:pPr>
              <w:pStyle w:val="null3"/>
            </w:pPr>
            <w:r>
              <w:rPr>
                <w:rFonts w:ascii="仿宋_GB2312" w:hAnsi="仿宋_GB2312" w:cs="仿宋_GB2312" w:eastAsia="仿宋_GB2312"/>
                <w:sz w:val="28"/>
                <w:b/>
              </w:rPr>
              <w:t>3.3其他要求</w:t>
            </w:r>
          </w:p>
          <w:p>
            <w:pPr>
              <w:pStyle w:val="null3"/>
              <w:ind w:firstLine="480"/>
            </w:pPr>
            <w:r>
              <w:rPr>
                <w:rFonts w:ascii="仿宋_GB2312" w:hAnsi="仿宋_GB2312" w:cs="仿宋_GB2312" w:eastAsia="仿宋_GB2312"/>
              </w:rPr>
              <w:t>一、</w:t>
            </w:r>
            <w:r>
              <w:rPr>
                <w:rFonts w:ascii="仿宋_GB2312" w:hAnsi="仿宋_GB2312" w:cs="仿宋_GB2312" w:eastAsia="仿宋_GB2312"/>
              </w:rPr>
              <w:t>需要落实的政府采购政策：</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关于印发《政府采购促进中小企业发展管理办法》的通知（财库〔</w:t>
            </w:r>
            <w:r>
              <w:rPr>
                <w:rFonts w:ascii="仿宋_GB2312" w:hAnsi="仿宋_GB2312" w:cs="仿宋_GB2312" w:eastAsia="仿宋_GB2312"/>
              </w:rPr>
              <w:t>2020〕46号）；2</w:t>
            </w:r>
            <w:r>
              <w:rPr>
                <w:rFonts w:ascii="仿宋_GB2312" w:hAnsi="仿宋_GB2312" w:cs="仿宋_GB2312" w:eastAsia="仿宋_GB2312"/>
              </w:rPr>
              <w:t>、</w:t>
            </w:r>
            <w:r>
              <w:rPr>
                <w:rFonts w:ascii="仿宋_GB2312" w:hAnsi="仿宋_GB2312" w:cs="仿宋_GB2312" w:eastAsia="仿宋_GB2312"/>
              </w:rPr>
              <w:t>《财政部、司法部关于政府采购支持监狱企业发展有关问题的通知》（财库〔</w:t>
            </w:r>
            <w:r>
              <w:rPr>
                <w:rFonts w:ascii="仿宋_GB2312" w:hAnsi="仿宋_GB2312" w:cs="仿宋_GB2312" w:eastAsia="仿宋_GB2312"/>
              </w:rPr>
              <w:t>2014〕68号）；3</w:t>
            </w:r>
            <w:r>
              <w:rPr>
                <w:rFonts w:ascii="仿宋_GB2312" w:hAnsi="仿宋_GB2312" w:cs="仿宋_GB2312" w:eastAsia="仿宋_GB2312"/>
              </w:rPr>
              <w:t>、</w:t>
            </w:r>
            <w:r>
              <w:rPr>
                <w:rFonts w:ascii="仿宋_GB2312" w:hAnsi="仿宋_GB2312" w:cs="仿宋_GB2312" w:eastAsia="仿宋_GB2312"/>
              </w:rPr>
              <w:t>《民政部、财政部、中国残疾人联合会关于促进残疾人就业政府采购政策的通知》（财库〔</w:t>
            </w:r>
            <w:r>
              <w:rPr>
                <w:rFonts w:ascii="仿宋_GB2312" w:hAnsi="仿宋_GB2312" w:cs="仿宋_GB2312" w:eastAsia="仿宋_GB2312"/>
              </w:rPr>
              <w:t>2017〕141号）</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财政部、国家发展和改革委员会关于印发《节能产品政府采购实施意见》的通知（财库〔</w:t>
            </w:r>
            <w:r>
              <w:rPr>
                <w:rFonts w:ascii="仿宋_GB2312" w:hAnsi="仿宋_GB2312" w:cs="仿宋_GB2312" w:eastAsia="仿宋_GB2312"/>
              </w:rPr>
              <w:t>2004〕185号）；5</w:t>
            </w:r>
            <w:r>
              <w:rPr>
                <w:rFonts w:ascii="仿宋_GB2312" w:hAnsi="仿宋_GB2312" w:cs="仿宋_GB2312" w:eastAsia="仿宋_GB2312"/>
              </w:rPr>
              <w:t>、</w:t>
            </w:r>
            <w:r>
              <w:rPr>
                <w:rFonts w:ascii="仿宋_GB2312" w:hAnsi="仿宋_GB2312" w:cs="仿宋_GB2312" w:eastAsia="仿宋_GB2312"/>
              </w:rPr>
              <w:t>《关于印发环境标志产品政府采购品目清单的通知》（财库〔</w:t>
            </w:r>
            <w:r>
              <w:rPr>
                <w:rFonts w:ascii="仿宋_GB2312" w:hAnsi="仿宋_GB2312" w:cs="仿宋_GB2312" w:eastAsia="仿宋_GB2312"/>
              </w:rPr>
              <w:t>2019〕18号）；6</w:t>
            </w:r>
            <w:r>
              <w:rPr>
                <w:rFonts w:ascii="仿宋_GB2312" w:hAnsi="仿宋_GB2312" w:cs="仿宋_GB2312" w:eastAsia="仿宋_GB2312"/>
              </w:rPr>
              <w:t>、</w:t>
            </w:r>
            <w:r>
              <w:rPr>
                <w:rFonts w:ascii="仿宋_GB2312" w:hAnsi="仿宋_GB2312" w:cs="仿宋_GB2312" w:eastAsia="仿宋_GB2312"/>
              </w:rPr>
              <w:t>《关于印发节能产品政府采购品目清单的通知》（财库〔</w:t>
            </w:r>
            <w:r>
              <w:rPr>
                <w:rFonts w:ascii="仿宋_GB2312" w:hAnsi="仿宋_GB2312" w:cs="仿宋_GB2312" w:eastAsia="仿宋_GB2312"/>
              </w:rPr>
              <w:t>2019〕19号）；7</w:t>
            </w:r>
            <w:r>
              <w:rPr>
                <w:rFonts w:ascii="仿宋_GB2312" w:hAnsi="仿宋_GB2312" w:cs="仿宋_GB2312" w:eastAsia="仿宋_GB2312"/>
              </w:rPr>
              <w:t>、</w:t>
            </w:r>
            <w:r>
              <w:rPr>
                <w:rFonts w:ascii="仿宋_GB2312" w:hAnsi="仿宋_GB2312" w:cs="仿宋_GB2312" w:eastAsia="仿宋_GB2312"/>
              </w:rPr>
              <w:t>《关于进一步加强政府绿色采购有关问题的通知》（陕财办采〔</w:t>
            </w:r>
            <w:r>
              <w:rPr>
                <w:rFonts w:ascii="仿宋_GB2312" w:hAnsi="仿宋_GB2312" w:cs="仿宋_GB2312" w:eastAsia="仿宋_GB2312"/>
              </w:rPr>
              <w:t>2021〕29号）</w:t>
            </w: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w:t>
            </w:r>
            <w:r>
              <w:rPr>
                <w:rFonts w:ascii="仿宋_GB2312" w:hAnsi="仿宋_GB2312" w:cs="仿宋_GB2312" w:eastAsia="仿宋_GB2312"/>
              </w:rPr>
              <w:t>《财政部、发展改革委、生态环境部、市场监管总局关于调整优化节能产品、环境标志产品政府采购执行机制的通知》（财库〔</w:t>
            </w:r>
            <w:r>
              <w:rPr>
                <w:rFonts w:ascii="仿宋_GB2312" w:hAnsi="仿宋_GB2312" w:cs="仿宋_GB2312" w:eastAsia="仿宋_GB2312"/>
              </w:rPr>
              <w:t>2019〕9号）；9</w:t>
            </w:r>
            <w:r>
              <w:rPr>
                <w:rFonts w:ascii="仿宋_GB2312" w:hAnsi="仿宋_GB2312" w:cs="仿宋_GB2312" w:eastAsia="仿宋_GB2312"/>
              </w:rPr>
              <w:t>、</w:t>
            </w:r>
            <w:r>
              <w:rPr>
                <w:rFonts w:ascii="仿宋_GB2312" w:hAnsi="仿宋_GB2312" w:cs="仿宋_GB2312" w:eastAsia="仿宋_GB2312"/>
              </w:rPr>
              <w:t>《陕西省财政厅关于加快推进我省中小企业政府采购信用融资工作的通知》（陕财办采〔</w:t>
            </w:r>
            <w:r>
              <w:rPr>
                <w:rFonts w:ascii="仿宋_GB2312" w:hAnsi="仿宋_GB2312" w:cs="仿宋_GB2312" w:eastAsia="仿宋_GB2312"/>
              </w:rPr>
              <w:t>2020〕15号）；10</w:t>
            </w:r>
            <w:r>
              <w:rPr>
                <w:rFonts w:ascii="仿宋_GB2312" w:hAnsi="仿宋_GB2312" w:cs="仿宋_GB2312" w:eastAsia="仿宋_GB2312"/>
              </w:rPr>
              <w:t>、</w:t>
            </w:r>
            <w:r>
              <w:rPr>
                <w:rFonts w:ascii="仿宋_GB2312" w:hAnsi="仿宋_GB2312" w:cs="仿宋_GB2312" w:eastAsia="仿宋_GB2312"/>
              </w:rPr>
              <w:t>《关于运用政府采购政策支持乡村产业振兴的通知》（财库〔</w:t>
            </w:r>
            <w:r>
              <w:rPr>
                <w:rFonts w:ascii="仿宋_GB2312" w:hAnsi="仿宋_GB2312" w:cs="仿宋_GB2312" w:eastAsia="仿宋_GB2312"/>
              </w:rPr>
              <w:t>2021〕19号）；11</w:t>
            </w:r>
            <w:r>
              <w:rPr>
                <w:rFonts w:ascii="仿宋_GB2312" w:hAnsi="仿宋_GB2312" w:cs="仿宋_GB2312" w:eastAsia="仿宋_GB2312"/>
              </w:rPr>
              <w:t>、</w:t>
            </w:r>
            <w:r>
              <w:rPr>
                <w:rFonts w:ascii="仿宋_GB2312" w:hAnsi="仿宋_GB2312" w:cs="仿宋_GB2312" w:eastAsia="仿宋_GB2312"/>
              </w:rPr>
              <w:t>《关于深入开展政府采购脱贫地区农副产品工作推进乡村产业振兴的实施意见》的通知（财库〔</w:t>
            </w:r>
            <w:r>
              <w:rPr>
                <w:rFonts w:ascii="仿宋_GB2312" w:hAnsi="仿宋_GB2312" w:cs="仿宋_GB2312" w:eastAsia="仿宋_GB2312"/>
              </w:rPr>
              <w:t>2021〕20号）；12</w:t>
            </w:r>
            <w:r>
              <w:rPr>
                <w:rFonts w:ascii="仿宋_GB2312" w:hAnsi="仿宋_GB2312" w:cs="仿宋_GB2312" w:eastAsia="仿宋_GB2312"/>
              </w:rPr>
              <w:t>、</w:t>
            </w:r>
            <w:r>
              <w:rPr>
                <w:rFonts w:ascii="仿宋_GB2312" w:hAnsi="仿宋_GB2312" w:cs="仿宋_GB2312" w:eastAsia="仿宋_GB2312"/>
              </w:rPr>
              <w:t>《财政部关于进一步加大政府采购支持中小企业力度的通知》（财库〔</w:t>
            </w:r>
            <w:r>
              <w:rPr>
                <w:rFonts w:ascii="仿宋_GB2312" w:hAnsi="仿宋_GB2312" w:cs="仿宋_GB2312" w:eastAsia="仿宋_GB2312"/>
              </w:rPr>
              <w:t>2022〕19号）；13</w:t>
            </w:r>
            <w:r>
              <w:rPr>
                <w:rFonts w:ascii="仿宋_GB2312" w:hAnsi="仿宋_GB2312" w:cs="仿宋_GB2312" w:eastAsia="仿宋_GB2312"/>
              </w:rPr>
              <w:t>、</w:t>
            </w:r>
            <w:r>
              <w:rPr>
                <w:rFonts w:ascii="仿宋_GB2312" w:hAnsi="仿宋_GB2312" w:cs="仿宋_GB2312" w:eastAsia="仿宋_GB2312"/>
              </w:rPr>
              <w:t>陕西省财政厅关于印发《陕西省中小企业政府采购信用融资办法》（陕财办采〔</w:t>
            </w:r>
            <w:r>
              <w:rPr>
                <w:rFonts w:ascii="仿宋_GB2312" w:hAnsi="仿宋_GB2312" w:cs="仿宋_GB2312" w:eastAsia="仿宋_GB2312"/>
              </w:rPr>
              <w:t>2018〕23号）；14</w:t>
            </w:r>
            <w:r>
              <w:rPr>
                <w:rFonts w:ascii="仿宋_GB2312" w:hAnsi="仿宋_GB2312" w:cs="仿宋_GB2312" w:eastAsia="仿宋_GB2312"/>
              </w:rPr>
              <w:t>、</w:t>
            </w:r>
            <w:r>
              <w:rPr>
                <w:rFonts w:ascii="仿宋_GB2312" w:hAnsi="仿宋_GB2312" w:cs="仿宋_GB2312" w:eastAsia="仿宋_GB2312"/>
              </w:rPr>
              <w:t>《财政部关于在政府采购活动中查询及使用信用记录有关问题的通知》（财库〔</w:t>
            </w:r>
            <w:r>
              <w:rPr>
                <w:rFonts w:ascii="仿宋_GB2312" w:hAnsi="仿宋_GB2312" w:cs="仿宋_GB2312" w:eastAsia="仿宋_GB2312"/>
              </w:rPr>
              <w:t>2016〕125号）；15</w:t>
            </w:r>
            <w:r>
              <w:rPr>
                <w:rFonts w:ascii="仿宋_GB2312" w:hAnsi="仿宋_GB2312" w:cs="仿宋_GB2312" w:eastAsia="仿宋_GB2312"/>
              </w:rPr>
              <w:t>、</w:t>
            </w:r>
            <w:r>
              <w:rPr>
                <w:rFonts w:ascii="仿宋_GB2312" w:hAnsi="仿宋_GB2312" w:cs="仿宋_GB2312" w:eastAsia="仿宋_GB2312"/>
              </w:rPr>
              <w:t>《陕西省财政厅关于落实政府采购支持中小企业政策有关事项的通知》（陕财办采函〔</w:t>
            </w:r>
            <w:r>
              <w:rPr>
                <w:rFonts w:ascii="仿宋_GB2312" w:hAnsi="仿宋_GB2312" w:cs="仿宋_GB2312" w:eastAsia="仿宋_GB2312"/>
              </w:rPr>
              <w:t>2022〕10号）；14</w:t>
            </w:r>
            <w:r>
              <w:rPr>
                <w:rFonts w:ascii="仿宋_GB2312" w:hAnsi="仿宋_GB2312" w:cs="仿宋_GB2312" w:eastAsia="仿宋_GB2312"/>
              </w:rPr>
              <w:t>、</w:t>
            </w:r>
            <w:r>
              <w:rPr>
                <w:rFonts w:ascii="仿宋_GB2312" w:hAnsi="仿宋_GB2312" w:cs="仿宋_GB2312" w:eastAsia="仿宋_GB2312"/>
              </w:rPr>
              <w:t>其他需要落实的政府采购政策（如有最新颁布的政府采购政策，按最新的文件执行）</w:t>
            </w:r>
            <w:r>
              <w:rPr>
                <w:rFonts w:ascii="仿宋_GB2312" w:hAnsi="仿宋_GB2312" w:cs="仿宋_GB2312" w:eastAsia="仿宋_GB2312"/>
              </w:rPr>
              <w:t>。</w:t>
            </w:r>
          </w:p>
          <w:p>
            <w:pPr>
              <w:pStyle w:val="null3"/>
              <w:ind w:firstLine="400"/>
            </w:pPr>
            <w:r>
              <w:rPr>
                <w:rFonts w:ascii="仿宋_GB2312" w:hAnsi="仿宋_GB2312" w:cs="仿宋_GB2312" w:eastAsia="仿宋_GB2312"/>
              </w:rPr>
              <w:t>二、</w:t>
            </w:r>
            <w:r>
              <w:rPr>
                <w:rFonts w:ascii="仿宋_GB2312" w:hAnsi="仿宋_GB2312" w:cs="仿宋_GB2312" w:eastAsia="仿宋_GB2312"/>
              </w:rPr>
              <w:t>供应商务必在开标截止时间</w:t>
            </w:r>
            <w:r>
              <w:rPr>
                <w:rFonts w:ascii="仿宋_GB2312" w:hAnsi="仿宋_GB2312" w:cs="仿宋_GB2312" w:eastAsia="仿宋_GB2312"/>
              </w:rPr>
              <w:t>30分钟前，通过项目电子化交易系统进行签到，如未进行签到，产生的一切后果由供应商自行承担。</w:t>
            </w:r>
          </w:p>
          <w:p>
            <w:pPr>
              <w:pStyle w:val="null3"/>
              <w:ind w:firstLine="400"/>
            </w:pPr>
            <w:r>
              <w:rPr>
                <w:rFonts w:ascii="仿宋_GB2312" w:hAnsi="仿宋_GB2312" w:cs="仿宋_GB2312" w:eastAsia="仿宋_GB2312"/>
              </w:rPr>
              <w:t>三、</w:t>
            </w:r>
            <w:r>
              <w:rPr>
                <w:rFonts w:ascii="仿宋_GB2312" w:hAnsi="仿宋_GB2312" w:cs="仿宋_GB2312" w:eastAsia="仿宋_GB2312"/>
              </w:rPr>
              <w:t>报价说明：报价包含全部成本、利润、税金和风险。</w:t>
            </w:r>
          </w:p>
          <w:p>
            <w:pPr>
              <w:pStyle w:val="null3"/>
              <w:ind w:firstLine="400"/>
            </w:pPr>
            <w:r>
              <w:rPr>
                <w:rFonts w:ascii="仿宋_GB2312" w:hAnsi="仿宋_GB2312" w:cs="仿宋_GB2312" w:eastAsia="仿宋_GB2312"/>
              </w:rPr>
              <w:t>四、</w:t>
            </w:r>
            <w:r>
              <w:rPr>
                <w:rFonts w:ascii="仿宋_GB2312" w:hAnsi="仿宋_GB2312" w:cs="仿宋_GB2312" w:eastAsia="仿宋_GB2312"/>
              </w:rPr>
              <w:t>本项目专门面向中小企业采购，须在投标文件中提供中小企业声明函。</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1、办理工程相关施工手续，确保工程符合国家及地方相关施工管理规定，保证合法合规施工; 2、在施工期间，中标供应商必须在不影响医院的正常医疗秩序的条件下施工，施工方应保障医院内人员安全; 3、加强安全措施，并对施工人员进行安全教育。施工人员必须持证上岗; 4、施工单位应充分考虑项目施工地点和工程的特殊性，必要时充分做好到封闭施工; 5、参与本项目的施工人员进行高空作业时，需持有高空作业相关资质证书方可进行施工; 6、中标供应商应对施工现场的安全负责，在整个施工过程中，不得出现任何事故，在进行高空/楼顶作业时，应采取必要措施避免意外事故及高空坠落，否则由此造成的一切后果均由中标供应商承担; 7、若因本项目合同履行造成采购人、中标供应商、各方工作人员或任意第三方人身损害或财产损失的，由中标供应商承担全部责任，若采购人因此遭到索赔的，有权向中标供应商追偿。</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需要落实的政府采购政策：1、关于印发《政府采购促进中小企业发展管理办法》的通知（财库〔2020〕46号）；2、《财政部、司法部关于政府采购支持监狱企业发展有关问题的通知》（财库〔2014〕68号）；3、《民政部、财政部、中国残疾人联合会关于促进残疾人就业政府采购政策的通知》（财库〔2017〕141号）；4、财政部、国家发展和改革委员会关于印发《节能产品政府采购实施意见》的通知（财库〔2004〕185号）；5、《关于印发环境标志产品政府采购品目清单的通知》（财库〔2019〕18号）；6、《关于印发节能产品政府采购品目清单的通知》（财库〔2019〕19号）；7、《关于进一步加强政府绿色采购有关问题的通知》（陕财办采〔2021〕29号）；8、《财政部、发展改革委、生态环境部、市场监管总局关于调整优化节能产品、环境标志产品政府采购执行机制的通知》（财库〔2019〕9号）；9、《陕西省财政厅关于加快推进我省中小企业政府采购信用融资工作的通知》（陕财办采〔2020〕15号）；10、《关于运用政府采购政策支持乡村产业振兴的通知》（财库〔2021〕19号）；11、《关于深入开展政府采购脱贫地区农副产品工作推进乡村产业振兴的实施意见》的通知（财库〔2021〕20号）；12、《财政部关于进一步加大政府采购支持中小企业力度的通知》（财库〔2022〕19号）；13、陕西省财政厅关于印发《陕西省中小企业政府采购信用融资办法》（陕财办采〔2018〕23号）；14、《财政部关于在政府采购活动中查询及使用信用记录有关问题的通知》（财库〔2016〕125号）；15、《陕西省财政厅关于落实政府采购支持中小企业政策有关事项的通知》（陕财办采函〔2022〕10号）；14、其他需要落实的政府采购政策（如有最新颁布的政府采购政策，按最新的文件执行）。 二、供应商务必在开标截止时间30分钟前，通过项目电子化交易系统进行签到，如未进行签到，产生的一切后果由供应商自行承担。 三、报价说明：报价包含全部成本、利润、税金和风险。 四、本项目专门面向中小企业采购，须在投标文件中提供中小企业声明函。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特殊资格证明文件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供应商认为需提供的其他材料 供应商应提交的相关资格证明材料 特殊资格证明文件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具有独立承担民事责任能力的法人或非法人组织或自然人，提供合法有效的统一社会信用代码的营业执照等证明文件，自然人提供身份证件</w:t>
            </w:r>
          </w:p>
        </w:tc>
        <w:tc>
          <w:tcPr>
            <w:tcW w:type="dxa" w:w="1661"/>
          </w:tcPr>
          <w:p>
            <w:pPr>
              <w:pStyle w:val="null3"/>
            </w:pPr>
            <w:r>
              <w:rPr>
                <w:rFonts w:ascii="仿宋_GB2312" w:hAnsi="仿宋_GB2312" w:cs="仿宋_GB2312" w:eastAsia="仿宋_GB2312"/>
              </w:rPr>
              <w:t>特殊资格证明文件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提供法定代表人授权委托书及被授权人身份证及被授权人近三个月在本单位社保缴纳的证明资料（投标人为法定代表人时，须提交法定代表人证明书及身份证复印件且与营业执照上信息须一致）</w:t>
            </w:r>
          </w:p>
        </w:tc>
        <w:tc>
          <w:tcPr>
            <w:tcW w:type="dxa" w:w="1661"/>
          </w:tcPr>
          <w:p>
            <w:pPr>
              <w:pStyle w:val="null3"/>
            </w:pPr>
            <w:r>
              <w:rPr>
                <w:rFonts w:ascii="仿宋_GB2312" w:hAnsi="仿宋_GB2312" w:cs="仿宋_GB2312" w:eastAsia="仿宋_GB2312"/>
              </w:rPr>
              <w:t>特殊资格证明文件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证明</w:t>
            </w:r>
          </w:p>
        </w:tc>
        <w:tc>
          <w:tcPr>
            <w:tcW w:type="dxa" w:w="1661"/>
          </w:tcPr>
          <w:p>
            <w:pPr>
              <w:pStyle w:val="null3"/>
            </w:pPr>
            <w:r>
              <w:rPr>
                <w:rFonts w:ascii="仿宋_GB2312" w:hAnsi="仿宋_GB2312" w:cs="仿宋_GB2312" w:eastAsia="仿宋_GB2312"/>
              </w:rPr>
              <w:t>特殊资格证明文件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政府采购活动前3年内没有重大违法记录书面声明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特殊资格证明文件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应提供2024年经审计的财务报告且出具的审计报告应当经过注册会计师行业统一监管平台备案赋码（事业法人可提供部门决算报告）或基本开户银行出具的资信证明或政府采购专业担保机构出具的投标担保函</w:t>
            </w:r>
          </w:p>
        </w:tc>
        <w:tc>
          <w:tcPr>
            <w:tcW w:type="dxa" w:w="1661"/>
          </w:tcPr>
          <w:p>
            <w:pPr>
              <w:pStyle w:val="null3"/>
            </w:pPr>
            <w:r>
              <w:rPr>
                <w:rFonts w:ascii="仿宋_GB2312" w:hAnsi="仿宋_GB2312" w:cs="仿宋_GB2312" w:eastAsia="仿宋_GB2312"/>
              </w:rPr>
              <w:t>特殊资格证明文件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提供具有履行合同所必需的设备和专业技术能力书面声明函</w:t>
            </w:r>
          </w:p>
        </w:tc>
        <w:tc>
          <w:tcPr>
            <w:tcW w:type="dxa" w:w="1661"/>
          </w:tcPr>
          <w:p>
            <w:pPr>
              <w:pStyle w:val="null3"/>
            </w:pPr>
            <w:r>
              <w:rPr>
                <w:rFonts w:ascii="仿宋_GB2312" w:hAnsi="仿宋_GB2312" w:cs="仿宋_GB2312" w:eastAsia="仿宋_GB2312"/>
              </w:rPr>
              <w:t>特殊资格证明文件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供应商特殊资格要求</w:t>
            </w:r>
          </w:p>
        </w:tc>
        <w:tc>
          <w:tcPr>
            <w:tcW w:type="dxa" w:w="3322"/>
          </w:tcPr>
          <w:p>
            <w:pPr>
              <w:pStyle w:val="null3"/>
            </w:pPr>
            <w:r>
              <w:rPr>
                <w:rFonts w:ascii="仿宋_GB2312" w:hAnsi="仿宋_GB2312" w:cs="仿宋_GB2312" w:eastAsia="仿宋_GB2312"/>
              </w:rPr>
              <w:t>供应商具备建设行政主管部门颁发的建筑工程施工总承包三级及以上或建筑装饰装修工程专业承包二级及以上资质；同时具备有效的安全生产许可证</w:t>
            </w:r>
          </w:p>
        </w:tc>
        <w:tc>
          <w:tcPr>
            <w:tcW w:type="dxa" w:w="1661"/>
          </w:tcPr>
          <w:p>
            <w:pPr>
              <w:pStyle w:val="null3"/>
            </w:pPr>
            <w:r>
              <w:rPr>
                <w:rFonts w:ascii="仿宋_GB2312" w:hAnsi="仿宋_GB2312" w:cs="仿宋_GB2312" w:eastAsia="仿宋_GB2312"/>
              </w:rPr>
              <w:t>特殊资格证明文件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供应商拟派项目负责人（项目经理）须具备建筑工程专业二级及以上注册建造师执业资格、在本单位注册并且具有安全生产考核合格证（B证）且无不良信用记录，无在建工程（提供承诺书）</w:t>
            </w:r>
          </w:p>
        </w:tc>
        <w:tc>
          <w:tcPr>
            <w:tcW w:type="dxa" w:w="1661"/>
          </w:tcPr>
          <w:p>
            <w:pPr>
              <w:pStyle w:val="null3"/>
            </w:pPr>
            <w:r>
              <w:rPr>
                <w:rFonts w:ascii="仿宋_GB2312" w:hAnsi="仿宋_GB2312" w:cs="仿宋_GB2312" w:eastAsia="仿宋_GB2312"/>
              </w:rPr>
              <w:t>响应文件封面 项目管理机构组成表 响应函 主要人员简历表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不得为“信用中国”网站（www.cre ditchina.gov.cn）中列入失信被执行人和重大税收违法失信主体的供应商；不得为中国政府采购网（w 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特殊资格证明文件</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须符合财政部工业和信息化部《关于印发〈政府采购促进中小企业发展管理办法〉的通知》（财库〔2020〕46号）规定的中小企业参加，并提供《中小企业声明函 》</w:t>
            </w:r>
          </w:p>
        </w:tc>
        <w:tc>
          <w:tcPr>
            <w:tcW w:type="dxa" w:w="1661"/>
          </w:tcPr>
          <w:p>
            <w:pPr>
              <w:pStyle w:val="null3"/>
            </w:pPr>
            <w:r>
              <w:rPr>
                <w:rFonts w:ascii="仿宋_GB2312" w:hAnsi="仿宋_GB2312" w:cs="仿宋_GB2312" w:eastAsia="仿宋_GB2312"/>
              </w:rPr>
              <w:t>残疾人福利性单位声明函 中小企业声明函 特殊资格证明文件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施工响应方案</w:t>
            </w:r>
          </w:p>
          <w:p>
            <w:pPr>
              <w:pStyle w:val="null3"/>
            </w:pPr>
            <w:r>
              <w:rPr>
                <w:rFonts w:ascii="仿宋_GB2312" w:hAnsi="仿宋_GB2312" w:cs="仿宋_GB2312" w:eastAsia="仿宋_GB2312"/>
              </w:rPr>
              <w:t>响应文件封面</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方案专门针对本项目编制，符合项目实际情况及实施要求，内容详尽且涵盖角度全面，合理性和可行性强，能够保障项目顺利实施的，得5分; 方案能够针对本项目编制，符合项目实际情况及实施要求，内容详尽且涵盖角度基本全面，有一定的合理性和可行性的，得4分; 方案基本能够针对本项目编制，基本符合项目实际情况及实施要求，内容较宽泛，涵盖角度不够全面，内容基本合理可行的，得3分; 具有方案内容但内容未贴合本项目，内容涵盖角度不够全面且实施有难度的，得2分; 具有方案内容但内容未针对本项目，内容空洞宽泛，基本不具有可实施性，得1分;未提供方案内容不得分。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施工机械及材料投入计划</w:t>
            </w:r>
          </w:p>
        </w:tc>
        <w:tc>
          <w:tcPr>
            <w:tcW w:type="dxa" w:w="2492"/>
          </w:tcPr>
          <w:p>
            <w:pPr>
              <w:pStyle w:val="null3"/>
            </w:pPr>
            <w:r>
              <w:rPr>
                <w:rFonts w:ascii="仿宋_GB2312" w:hAnsi="仿宋_GB2312" w:cs="仿宋_GB2312" w:eastAsia="仿宋_GB2312"/>
              </w:rPr>
              <w:t>投入计划专门针对本项目编制，符合项目实际情况及实施要求，内容详尽且涵盖角度全面，合理性和可行性强，能够保障项目顺利实施的，得5分; 投入计划基本针对本项目编制，符合项目实际情况及实施要求，内容详尽且涵盖角度基本全面，有一定的合理性和可行性的，得4分; 投入计划能够针对本项目编制，基本符合项目实际情况及实施要求，内容较详细，涵盖角度较全面但略有不完善，基本合理可行的，得3分;提供投入计划，但内容涵盖角度不够全面且实施具有一定难度，得2分; 投入计划内容简单笼统，实施难度大的，得1分;未提供投入计划内容不得分。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网络图或进度表内容详尽、安排合理且实施性强计5分； 网络图或进度表内容详尽、安排合理且实施性较强计4分； 提供网络图或进度表内容、安排基本合理实施性缺乏计3分； 提供网络图或进度表，内容不够全面，实施性不强计2分； 提供网络图或进度表，内容不合理，不具有实施性计1分。未提供网络图或进度表不得分。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安排计划科学全面、内容具体、针对性强计5分； 安排计划基本全面、具有一定针对性计4分； 提供安排计划、内容基本合理、实施性欠妥计3分；提供安排计划，内容不够全面，实施性不强计2分；提供安排计划，内容简单笼统，不具有实施性计1分。未提供安排计划不计分。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项目部人员配备</w:t>
            </w:r>
          </w:p>
        </w:tc>
        <w:tc>
          <w:tcPr>
            <w:tcW w:type="dxa" w:w="2492"/>
          </w:tcPr>
          <w:p>
            <w:pPr>
              <w:pStyle w:val="null3"/>
            </w:pPr>
            <w:r>
              <w:rPr>
                <w:rFonts w:ascii="仿宋_GB2312" w:hAnsi="仿宋_GB2312" w:cs="仿宋_GB2312" w:eastAsia="仿宋_GB2312"/>
              </w:rPr>
              <w:t>项目部组成科学合理、人员表配置充足，有详细的人员配置清单，针对性强，能够很好的满足项目需求，得5分；项目部组成基本合理、人员表配置基本齐全，具有人员配置清单，有一定的针对性，能够满足项目需求，得4分；提供项目部组成情况，配置基本合理但组成不全面得3分；项目部组成人员缺乏科学合理性，无人员配置清单，无法满足项目需求，得2分； 项目部组成内容简单笼统得1分。未提供项目部组成不得分。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后续服务措施</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措施内容专门针对本项目编制，符合项目实际情况及实施要求，内容详尽且涵盖角度全面，合理性和可行性强，能够保障项目顺利实施的，得5分; 措施内容能够针对本项目编制，符合项目实际情况及实施要求，内容详尽且涵盖角度基本全面，有一定的合理性和可行性的，得4分; 措施内容基本能够针对本项目编制，基本符合项目实际情况及实施要求，内容较详细，涵盖角度较全面，基本合理可行的，得3分; 具有措施内容但措施内容未贴合本项目，措施内容涵盖角度不全面且实施有难度的，得2分; 具有措施内容但内容未针对本项目，内容空洞宽泛，可实施性不强，得1分;未提供措施内容不得分。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承诺方案专门针对本项目编制，符合项目实际情况及实施要求，内容详尽且涵盖角度全面，合理性和可行性强，保障充分，得5分; 承诺方案能够针对本项目编制，符合项目实际情况及实施要求，内容详尽且涵盖角度基本全面，有一定的合理性和可行性的，得4分；承诺方案内容基本能够针对本项目编制，基本符合项目实际情况及实施要求，内容较详细，涵盖角度较全面，基本合理可行的，得3分; 具有承诺内容但内容未贴合本项目，承诺内容涵盖角度不全面且实施有难度的，得2分; 具有承诺内容但内容未针对本项目，内容空洞宽泛，可实施性不强，得1分;未提供承诺内容不得分。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施工响应方案</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提供2022年1月至今(附合同或中标通知书复印件，以施工合同签订日期为准)类似项目的业绩，每个业绩得5分，最高得10分，未按要求的不得分。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施工响应方案</w:t>
            </w:r>
          </w:p>
          <w:p>
            <w:pPr>
              <w:pStyle w:val="null3"/>
            </w:pPr>
            <w:r>
              <w:rPr>
                <w:rFonts w:ascii="仿宋_GB2312" w:hAnsi="仿宋_GB2312" w:cs="仿宋_GB2312" w:eastAsia="仿宋_GB2312"/>
              </w:rPr>
              <w:t>供应商认为需提供的其他材料</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提供2022年1月至今(附合同或中标通知书复印件，以施工合同签订日期为准)类似项目的业绩，每个业绩得5分，最高得10分，未按要求的不得分。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供应商认为需提供的其他材料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满足磋商文件要求且磋商价格最低的磋商报价为评标基准价，其价格分为满分。其他投标供应商的价格分统一按照下列公式计算：磋商报价得分=（评标基准价/磋商报价）×价格权值%×100。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详见附件：特殊资格证明文件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详见附件：施工响应方案</w:t>
      </w:r>
    </w:p>
    <w:p>
      <w:pPr>
        <w:pStyle w:val="null3"/>
        <w:ind w:firstLine="960"/>
      </w:pPr>
      <w:r>
        <w:rPr>
          <w:rFonts w:ascii="仿宋_GB2312" w:hAnsi="仿宋_GB2312" w:cs="仿宋_GB2312" w:eastAsia="仿宋_GB2312"/>
        </w:rPr>
        <w:t>详见附件：供应商认为需提供的其他材料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详见附件：拟签订采购合同文本-两专科一中心.docx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