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版本号：ZZHY202601100320260212001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马额街办南王村基础设施提升项目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ZZHY2026011003</w:t>
      </w:r>
      <w:r>
        <w:br/>
      </w:r>
      <w:r>
        <w:br/>
      </w:r>
      <w:r>
        <w:br/>
      </w:r>
    </w:p>
    <w:p>
      <w:pPr>
        <w:pStyle w:val="null3"/>
        <w:jc w:val="center"/>
        <w:outlineLvl w:val="2"/>
      </w:pPr>
      <w:r>
        <w:rPr>
          <w:rFonts w:ascii="仿宋_GB2312" w:hAnsi="仿宋_GB2312" w:cs="仿宋_GB2312" w:eastAsia="仿宋_GB2312"/>
          <w:sz w:val="28"/>
          <w:b/>
        </w:rPr>
        <w:t>西安市临潼区马额街道办事处</w:t>
      </w:r>
    </w:p>
    <w:p>
      <w:pPr>
        <w:pStyle w:val="null3"/>
        <w:jc w:val="center"/>
        <w:outlineLvl w:val="2"/>
      </w:pPr>
      <w:r>
        <w:rPr>
          <w:rFonts w:ascii="仿宋_GB2312" w:hAnsi="仿宋_GB2312" w:cs="仿宋_GB2312" w:eastAsia="仿宋_GB2312"/>
          <w:sz w:val="28"/>
          <w:b/>
        </w:rPr>
        <w:t>中正翰元项目管理有限公司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中正翰元项目管理有限公司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西安市临潼区马额街道办事处</w:t>
      </w:r>
      <w:r>
        <w:rPr>
          <w:rFonts w:ascii="仿宋_GB2312" w:hAnsi="仿宋_GB2312" w:cs="仿宋_GB2312" w:eastAsia="仿宋_GB2312"/>
        </w:rPr>
        <w:t>委托，拟对</w:t>
      </w:r>
      <w:r>
        <w:rPr>
          <w:rFonts w:ascii="仿宋_GB2312" w:hAnsi="仿宋_GB2312" w:cs="仿宋_GB2312" w:eastAsia="仿宋_GB2312"/>
        </w:rPr>
        <w:t>马额街办南王村基础设施提升项目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ZZHY2026011003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马额街办南王村基础设施提升项目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1.拓宽道路1.5米，道路宽至5.5米，拓宽长度0.85公里，拓宽1275平方米。2.黑化道路长度0.85公里，厚度5cm，宽度5.5米，共计4675m。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采购包1（马额街办南王村基础设施提升项目）：属于专门面向小微企业采购。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2、主体资格证明：具有独立承担民事责任能力的法人、其他组织或自然人，并出具合法有效的营业执照或事业单位法人证书等国家规定的合法证明文件，自然人参与的提供其身份证。</w:t>
      </w:r>
    </w:p>
    <w:p>
      <w:pPr>
        <w:pStyle w:val="null3"/>
      </w:pPr>
      <w:r>
        <w:rPr>
          <w:rFonts w:ascii="仿宋_GB2312" w:hAnsi="仿宋_GB2312" w:cs="仿宋_GB2312" w:eastAsia="仿宋_GB2312"/>
        </w:rPr>
        <w:t>3、供应商资质要求：供应商须具备建设行政主管部门颁发的市政公用工程施工总承包三级及以上资质，且具备有效的安全生产许可证。</w:t>
      </w:r>
    </w:p>
    <w:p>
      <w:pPr>
        <w:pStyle w:val="null3"/>
      </w:pPr>
      <w:r>
        <w:rPr>
          <w:rFonts w:ascii="仿宋_GB2312" w:hAnsi="仿宋_GB2312" w:cs="仿宋_GB2312" w:eastAsia="仿宋_GB2312"/>
        </w:rPr>
        <w:t>4、拟派项目负责人：拟派项目负责人具备市政公用工程专业二级及以上注册建造师证书和有效的安全生产考核合格证（B证），且无在建工程（提供无在建承诺书）。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西安市临潼区马额街道办事处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临潼区马额街道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刘小卓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029-83943558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中正翰元项目管理有限公司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西安市未央区未央路126号赛高国际商务港20层2004</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15991980597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代理服务费收费标准：1、招标代理费以成交金额为收费基数，参照国家计委颁发的《 招标代理服务收费管理暂行办法》（计价格〔2002〕1980号）、国家发展改革委员会办公厅颁发的《关于招标代理服务收费有关问题的通知》（发改办价格〔2003〕 857号）、《国家发展改革委关于降低部分建设项目收费标准规范收费行为等有关问题的通知》（发改价格〔2011〕534号）的有关规定执行，由成交单位在领取成交通知书前一次性支付。 2、代理服务费账户名称：中正翰元项目管理有限公司，开户行：交通银行股份有限公司西安长庆支行，账号：611301096013001128048。</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西安市临潼区马额街道办事处</w:t>
      </w:r>
      <w:r>
        <w:rPr>
          <w:rFonts w:ascii="仿宋_GB2312" w:hAnsi="仿宋_GB2312" w:cs="仿宋_GB2312" w:eastAsia="仿宋_GB2312"/>
        </w:rPr>
        <w:t>和</w:t>
      </w:r>
      <w:r>
        <w:rPr>
          <w:rFonts w:ascii="仿宋_GB2312" w:hAnsi="仿宋_GB2312" w:cs="仿宋_GB2312" w:eastAsia="仿宋_GB2312"/>
        </w:rPr>
        <w:t>中正翰元项目管理有限公司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西安市临潼区马额街道办事处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中正翰元项目管理有限公司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西安市临潼区马额街道办事处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中正翰元项目管理有限公司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联系电话：15991980597</w:t>
      </w:r>
    </w:p>
    <w:p>
      <w:pPr>
        <w:pStyle w:val="null3"/>
      </w:pPr>
      <w:r>
        <w:rPr>
          <w:rFonts w:ascii="仿宋_GB2312" w:hAnsi="仿宋_GB2312" w:cs="仿宋_GB2312" w:eastAsia="仿宋_GB2312"/>
        </w:rPr>
        <w:t>地址：西安市未央区未央路126号赛高国际商务港20层2004</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718,690.65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马额街办南王村基础设施提升项目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标的名称：马额街办南王村基础设施提升项目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一、项目概况</w:t>
            </w:r>
          </w:p>
          <w:p>
            <w:pPr>
              <w:pStyle w:val="null3"/>
              <w:ind w:firstLine="560"/>
              <w:jc w:val="both"/>
            </w:pPr>
            <w:r>
              <w:rPr>
                <w:rFonts w:ascii="仿宋_GB2312" w:hAnsi="仿宋_GB2312" w:cs="仿宋_GB2312" w:eastAsia="仿宋_GB2312"/>
                <w:sz w:val="24"/>
                <w:color w:val="000000"/>
              </w:rPr>
              <w:t>1.项目名称：马额街办南王村基础设施提升项目</w:t>
            </w:r>
          </w:p>
          <w:p>
            <w:pPr>
              <w:pStyle w:val="null3"/>
              <w:ind w:firstLine="560"/>
              <w:jc w:val="both"/>
            </w:pPr>
            <w:r>
              <w:rPr>
                <w:rFonts w:ascii="仿宋_GB2312" w:hAnsi="仿宋_GB2312" w:cs="仿宋_GB2312" w:eastAsia="仿宋_GB2312"/>
                <w:sz w:val="24"/>
                <w:color w:val="000000"/>
              </w:rPr>
              <w:t>2.项目地点：西安市</w:t>
            </w:r>
            <w:r>
              <w:rPr>
                <w:rFonts w:ascii="仿宋_GB2312" w:hAnsi="仿宋_GB2312" w:cs="仿宋_GB2312" w:eastAsia="仿宋_GB2312"/>
                <w:sz w:val="24"/>
                <w:color w:val="000000"/>
              </w:rPr>
              <w:t>临潼区</w:t>
            </w:r>
            <w:r>
              <w:rPr>
                <w:rFonts w:ascii="仿宋_GB2312" w:hAnsi="仿宋_GB2312" w:cs="仿宋_GB2312" w:eastAsia="仿宋_GB2312"/>
                <w:sz w:val="24"/>
                <w:color w:val="000000"/>
              </w:rPr>
              <w:t>马额街办</w:t>
            </w:r>
          </w:p>
          <w:p>
            <w:pPr>
              <w:pStyle w:val="null3"/>
              <w:ind w:firstLine="560"/>
              <w:jc w:val="both"/>
            </w:pPr>
            <w:r>
              <w:rPr>
                <w:rFonts w:ascii="仿宋_GB2312" w:hAnsi="仿宋_GB2312" w:cs="仿宋_GB2312" w:eastAsia="仿宋_GB2312"/>
                <w:sz w:val="24"/>
                <w:color w:val="000000"/>
              </w:rPr>
              <w:t>3.工期：60天</w:t>
            </w:r>
          </w:p>
          <w:p>
            <w:pPr>
              <w:pStyle w:val="null3"/>
              <w:ind w:firstLine="560"/>
              <w:jc w:val="both"/>
            </w:pPr>
            <w:r>
              <w:rPr>
                <w:rFonts w:ascii="仿宋_GB2312" w:hAnsi="仿宋_GB2312" w:cs="仿宋_GB2312" w:eastAsia="仿宋_GB2312"/>
                <w:sz w:val="24"/>
                <w:b/>
                <w:color w:val="000000"/>
              </w:rPr>
              <w:t>二、采购内容</w:t>
            </w:r>
          </w:p>
          <w:p>
            <w:pPr>
              <w:pStyle w:val="null3"/>
              <w:ind w:firstLine="560"/>
              <w:jc w:val="both"/>
            </w:pPr>
            <w:r>
              <w:rPr>
                <w:rFonts w:ascii="仿宋_GB2312" w:hAnsi="仿宋_GB2312" w:cs="仿宋_GB2312" w:eastAsia="仿宋_GB2312"/>
                <w:sz w:val="24"/>
                <w:color w:val="000000"/>
              </w:rPr>
              <w:t>1.拓宽道路1.5米，道路宽至5.5米，拓宽长度0.85公里，拓宽1275平方米。2.黑化道路长度0.85公里，厚度5cm，宽度5.5米，共计4675m。</w:t>
            </w:r>
          </w:p>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、工程量清单和计价依据</w:t>
            </w:r>
          </w:p>
          <w:p>
            <w:pPr>
              <w:pStyle w:val="null3"/>
              <w:ind w:firstLine="480"/>
              <w:jc w:val="both"/>
            </w:pPr>
            <w:r>
              <w:rPr>
                <w:rFonts w:ascii="仿宋_GB2312" w:hAnsi="仿宋_GB2312" w:cs="仿宋_GB2312" w:eastAsia="仿宋_GB2312"/>
                <w:sz w:val="24"/>
              </w:rPr>
              <w:t>（一）编制依据</w:t>
            </w:r>
          </w:p>
          <w:p>
            <w:pPr>
              <w:pStyle w:val="null3"/>
              <w:ind w:firstLine="56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《陕西省建设工程工程量清单计价规则》（</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2.《陕西省市政工程消耗量定额》（2025）；</w:t>
            </w:r>
          </w:p>
          <w:p>
            <w:pPr>
              <w:pStyle w:val="null3"/>
              <w:ind w:firstLine="560"/>
              <w:jc w:val="both"/>
            </w:pPr>
            <w:r>
              <w:rPr>
                <w:rFonts w:ascii="仿宋_GB2312" w:hAnsi="仿宋_GB2312" w:cs="仿宋_GB2312" w:eastAsia="仿宋_GB2312"/>
                <w:sz w:val="24"/>
                <w:color w:val="000000"/>
              </w:rPr>
              <w:t>3.《陕西省市政工程基价表》（2025）；</w:t>
            </w:r>
          </w:p>
          <w:p>
            <w:pPr>
              <w:pStyle w:val="null3"/>
              <w:ind w:firstLine="560"/>
              <w:jc w:val="both"/>
            </w:pPr>
            <w:r>
              <w:rPr>
                <w:rFonts w:ascii="仿宋_GB2312" w:hAnsi="仿宋_GB2312" w:cs="仿宋_GB2312" w:eastAsia="仿宋_GB2312"/>
                <w:sz w:val="24"/>
                <w:color w:val="000000"/>
              </w:rPr>
              <w:t>4.施工图设计中采用的相关规范、标准、技术资料；</w:t>
            </w:r>
          </w:p>
          <w:p>
            <w:pPr>
              <w:pStyle w:val="null3"/>
              <w:ind w:firstLine="560"/>
              <w:jc w:val="both"/>
            </w:pPr>
            <w:r>
              <w:rPr>
                <w:rFonts w:ascii="仿宋_GB2312" w:hAnsi="仿宋_GB2312" w:cs="仿宋_GB2312" w:eastAsia="仿宋_GB2312"/>
                <w:sz w:val="24"/>
                <w:color w:val="000000"/>
              </w:rPr>
              <w:t>5.施工现场情况、工程特点及常规施工方案；</w:t>
            </w:r>
          </w:p>
          <w:p>
            <w:pPr>
              <w:pStyle w:val="null3"/>
              <w:ind w:firstLine="560"/>
              <w:jc w:val="both"/>
            </w:pPr>
            <w:r>
              <w:rPr>
                <w:rFonts w:ascii="仿宋_GB2312" w:hAnsi="仿宋_GB2312" w:cs="仿宋_GB2312" w:eastAsia="仿宋_GB2312"/>
                <w:sz w:val="24"/>
                <w:color w:val="000000"/>
              </w:rPr>
              <w:t>6.其他相关资料。</w:t>
            </w:r>
          </w:p>
          <w:p>
            <w:pPr>
              <w:pStyle w:val="null3"/>
              <w:ind w:firstLine="480"/>
              <w:jc w:val="both"/>
            </w:pPr>
            <w:r>
              <w:rPr>
                <w:rFonts w:ascii="仿宋_GB2312" w:hAnsi="仿宋_GB2312" w:cs="仿宋_GB2312" w:eastAsia="仿宋_GB2312"/>
                <w:sz w:val="24"/>
              </w:rPr>
              <w:t>（二）其他说明</w:t>
            </w:r>
          </w:p>
          <w:p>
            <w:pPr>
              <w:pStyle w:val="null3"/>
              <w:ind w:firstLine="480"/>
              <w:jc w:val="both"/>
            </w:pPr>
            <w:r>
              <w:rPr>
                <w:rFonts w:ascii="仿宋_GB2312" w:hAnsi="仿宋_GB2312" w:cs="仿宋_GB2312" w:eastAsia="仿宋_GB2312"/>
                <w:sz w:val="24"/>
              </w:rPr>
              <w:t>1.采用陕西省广联达云计价平台版本号：7.5000.23.2编制；</w:t>
            </w:r>
          </w:p>
          <w:p>
            <w:pPr>
              <w:pStyle w:val="null3"/>
              <w:ind w:firstLine="480"/>
              <w:jc w:val="both"/>
            </w:pPr>
            <w:r>
              <w:rPr>
                <w:rFonts w:ascii="仿宋_GB2312" w:hAnsi="仿宋_GB2312" w:cs="仿宋_GB2312" w:eastAsia="仿宋_GB2312"/>
                <w:sz w:val="24"/>
              </w:rPr>
              <w:t>2.材料价参考陕西省信息价及市场价。</w:t>
            </w:r>
          </w:p>
          <w:p>
            <w:pPr>
              <w:pStyle w:val="null3"/>
              <w:ind w:left="30"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、施工要求</w:t>
            </w:r>
          </w:p>
          <w:p>
            <w:pPr>
              <w:pStyle w:val="null3"/>
              <w:ind w:firstLine="480"/>
              <w:jc w:val="both"/>
            </w:pPr>
            <w:r>
              <w:rPr>
                <w:rFonts w:ascii="仿宋_GB2312" w:hAnsi="仿宋_GB2312" w:cs="仿宋_GB2312" w:eastAsia="仿宋_GB2312"/>
                <w:sz w:val="24"/>
                <w:color w:val="000000"/>
              </w:rPr>
              <w:t>1.工程实行包工包料，施工方必须具备相应的资质。</w:t>
            </w:r>
          </w:p>
          <w:p>
            <w:pPr>
              <w:pStyle w:val="null3"/>
              <w:ind w:firstLine="480"/>
              <w:jc w:val="both"/>
            </w:pPr>
            <w:r>
              <w:rPr>
                <w:rFonts w:ascii="仿宋_GB2312" w:hAnsi="仿宋_GB2312" w:cs="仿宋_GB2312" w:eastAsia="仿宋_GB2312"/>
                <w:sz w:val="24"/>
                <w:color w:val="000000"/>
              </w:rPr>
              <w:t>2.施工方根据工程实际情况编制施工方案，制定工期进度安排，确保如期完工。</w:t>
            </w:r>
          </w:p>
          <w:p>
            <w:pPr>
              <w:pStyle w:val="null3"/>
              <w:ind w:firstLine="480"/>
              <w:jc w:val="both"/>
            </w:pPr>
            <w:r>
              <w:rPr>
                <w:rFonts w:ascii="仿宋_GB2312" w:hAnsi="仿宋_GB2312" w:cs="仿宋_GB2312" w:eastAsia="仿宋_GB2312"/>
                <w:sz w:val="24"/>
                <w:color w:val="000000"/>
              </w:rPr>
              <w:t>3.施工方在本工程中的项目负责人(项目经理)要求技术水平高、组织能力强，有丰富的工程业绩和实践经验，懂管理、善于协调。项目部施工团队中专业技术人员要求持证上岗，确保施工队伍稳定，保证整个工程顺利完工。</w:t>
            </w:r>
          </w:p>
          <w:p>
            <w:pPr>
              <w:pStyle w:val="null3"/>
              <w:ind w:firstLine="480"/>
              <w:jc w:val="both"/>
            </w:pPr>
            <w:r>
              <w:rPr>
                <w:rFonts w:ascii="仿宋_GB2312" w:hAnsi="仿宋_GB2312" w:cs="仿宋_GB2312" w:eastAsia="仿宋_GB2312"/>
                <w:sz w:val="24"/>
                <w:color w:val="000000"/>
              </w:rPr>
              <w:t>4.施工期间，施工方必须注意人员安全，加强安全措施，并对施工人员进行安全教育。</w:t>
            </w:r>
          </w:p>
          <w:p>
            <w:pPr>
              <w:pStyle w:val="null3"/>
              <w:ind w:firstLine="480"/>
              <w:jc w:val="both"/>
            </w:pPr>
            <w:r>
              <w:rPr>
                <w:rFonts w:ascii="仿宋_GB2312" w:hAnsi="仿宋_GB2312" w:cs="仿宋_GB2312" w:eastAsia="仿宋_GB2312"/>
                <w:sz w:val="24"/>
                <w:color w:val="000000"/>
              </w:rPr>
              <w:t>5.施工过程中，严格遵守建设单位的各项管理规定及规章制度，做到文明施工。发生工伤及意外事故由施工方负责。</w:t>
            </w:r>
          </w:p>
          <w:p>
            <w:pPr>
              <w:pStyle w:val="null3"/>
              <w:ind w:firstLine="480"/>
              <w:jc w:val="both"/>
            </w:pPr>
            <w:r>
              <w:rPr>
                <w:rFonts w:ascii="仿宋_GB2312" w:hAnsi="仿宋_GB2312" w:cs="仿宋_GB2312" w:eastAsia="仿宋_GB2312"/>
                <w:sz w:val="24"/>
                <w:color w:val="000000"/>
              </w:rPr>
              <w:t>6.严格执行国家及省市关于施工的相关规定，规范施工确保工程质量达到合格标准。如有更改须事先征得有关方面的同意，并在采购人落实后实施，同时出具书面说明。</w:t>
            </w:r>
          </w:p>
          <w:p>
            <w:pPr>
              <w:pStyle w:val="null3"/>
              <w:ind w:firstLine="482"/>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质量保证</w:t>
            </w:r>
          </w:p>
          <w:p>
            <w:pPr>
              <w:pStyle w:val="null3"/>
              <w:ind w:firstLine="480"/>
              <w:jc w:val="both"/>
            </w:pPr>
            <w:r>
              <w:rPr>
                <w:rFonts w:ascii="仿宋_GB2312" w:hAnsi="仿宋_GB2312" w:cs="仿宋_GB2312" w:eastAsia="仿宋_GB2312"/>
                <w:sz w:val="24"/>
                <w:color w:val="000000"/>
              </w:rPr>
              <w:t>1.工程质量：合格</w:t>
            </w:r>
          </w:p>
          <w:p>
            <w:pPr>
              <w:pStyle w:val="null3"/>
              <w:ind w:firstLine="480"/>
              <w:jc w:val="both"/>
            </w:pPr>
            <w:r>
              <w:rPr>
                <w:rFonts w:ascii="仿宋_GB2312" w:hAnsi="仿宋_GB2312" w:cs="仿宋_GB2312" w:eastAsia="仿宋_GB2312"/>
                <w:sz w:val="24"/>
                <w:color w:val="000000"/>
              </w:rPr>
              <w:t>2.质保期:自工程竣工验收合格之日起1年。</w:t>
            </w:r>
          </w:p>
          <w:p>
            <w:pPr>
              <w:pStyle w:val="null3"/>
              <w:ind w:firstLine="480"/>
              <w:jc w:val="both"/>
            </w:pPr>
            <w:r>
              <w:rPr>
                <w:rFonts w:ascii="仿宋_GB2312" w:hAnsi="仿宋_GB2312" w:cs="仿宋_GB2312" w:eastAsia="仿宋_GB2312"/>
                <w:sz w:val="24"/>
                <w:color w:val="000000"/>
              </w:rPr>
              <w:t>3.施工方必须依据采购要求，按照有关规范施工，一次性验收交接。</w:t>
            </w:r>
          </w:p>
          <w:p>
            <w:pPr>
              <w:pStyle w:val="null3"/>
              <w:ind w:firstLine="480"/>
              <w:jc w:val="both"/>
            </w:pPr>
            <w:r>
              <w:rPr>
                <w:rFonts w:ascii="仿宋_GB2312" w:hAnsi="仿宋_GB2312" w:cs="仿宋_GB2312" w:eastAsia="仿宋_GB2312"/>
                <w:sz w:val="24"/>
                <w:color w:val="000000"/>
              </w:rPr>
              <w:t>4.选用的主材、设备、辅材必须是合格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ind w:firstLine="480"/>
              <w:jc w:val="both"/>
            </w:pPr>
            <w:r>
              <w:rPr>
                <w:rFonts w:ascii="仿宋_GB2312" w:hAnsi="仿宋_GB2312" w:cs="仿宋_GB2312" w:eastAsia="仿宋_GB2312"/>
                <w:sz w:val="24"/>
                <w:color w:val="000000"/>
              </w:rPr>
              <w:t>5.施工方必须向建设单位及时提供合格证及材料检验单。在征得有关方认可后，方能进行施工，并做好相应的检验环节。</w:t>
            </w:r>
          </w:p>
          <w:p>
            <w:pPr>
              <w:pStyle w:val="null3"/>
              <w:ind w:firstLine="480"/>
              <w:jc w:val="both"/>
            </w:pPr>
            <w:r>
              <w:rPr>
                <w:rFonts w:ascii="仿宋_GB2312" w:hAnsi="仿宋_GB2312" w:cs="仿宋_GB2312" w:eastAsia="仿宋_GB2312"/>
                <w:sz w:val="24"/>
                <w:color w:val="000000"/>
              </w:rPr>
              <w:t>6.施工方的售后服务要完善、可靠、及时，并派遣相关技术人员配合建设单位检查，质保期内发生任何质量问题施工方需及时维护修理。</w:t>
            </w:r>
          </w:p>
          <w:p>
            <w:pPr>
              <w:pStyle w:val="null3"/>
              <w:ind w:firstLine="480"/>
              <w:jc w:val="both"/>
            </w:pPr>
            <w:r>
              <w:rPr>
                <w:rFonts w:ascii="仿宋_GB2312" w:hAnsi="仿宋_GB2312" w:cs="仿宋_GB2312" w:eastAsia="仿宋_GB2312"/>
                <w:sz w:val="24"/>
                <w:color w:val="000000"/>
              </w:rPr>
              <w:t>7.严格按照工艺流程和现行国家安全规范施工，严格执行施工要点，保证处理处置等级达到国家标准。</w:t>
            </w:r>
          </w:p>
          <w:p>
            <w:pPr>
              <w:pStyle w:val="null3"/>
              <w:ind w:firstLine="482"/>
              <w:jc w:val="both"/>
            </w:pPr>
            <w:r>
              <w:rPr>
                <w:rFonts w:ascii="仿宋_GB2312" w:hAnsi="仿宋_GB2312" w:cs="仿宋_GB2312" w:eastAsia="仿宋_GB2312"/>
                <w:sz w:val="24"/>
                <w:b/>
                <w:color w:val="000000"/>
              </w:rPr>
              <w:t>六、验收标准</w:t>
            </w:r>
          </w:p>
          <w:p>
            <w:pPr>
              <w:pStyle w:val="null3"/>
              <w:ind w:firstLine="480"/>
              <w:jc w:val="both"/>
            </w:pPr>
            <w:r>
              <w:rPr>
                <w:rFonts w:ascii="仿宋_GB2312" w:hAnsi="仿宋_GB2312" w:cs="仿宋_GB2312" w:eastAsia="仿宋_GB2312"/>
                <w:sz w:val="24"/>
                <w:color w:val="000000"/>
              </w:rPr>
              <w:t>1.质量标准：达到国家现行施工验收规范“合格</w:t>
            </w:r>
            <w:r>
              <w:rPr>
                <w:rFonts w:ascii="仿宋_GB2312" w:hAnsi="仿宋_GB2312" w:cs="仿宋_GB2312" w:eastAsia="仿宋_GB2312"/>
                <w:sz w:val="24"/>
                <w:color w:val="000000"/>
              </w:rPr>
              <w:t>”</w:t>
            </w:r>
            <w:r>
              <w:rPr>
                <w:rFonts w:ascii="仿宋_GB2312" w:hAnsi="仿宋_GB2312" w:cs="仿宋_GB2312" w:eastAsia="仿宋_GB2312"/>
                <w:sz w:val="24"/>
                <w:color w:val="000000"/>
              </w:rPr>
              <w:t>标准。</w:t>
            </w:r>
          </w:p>
          <w:p>
            <w:pPr>
              <w:pStyle w:val="null3"/>
              <w:ind w:firstLine="480"/>
              <w:jc w:val="both"/>
            </w:pPr>
            <w:r>
              <w:rPr>
                <w:rFonts w:ascii="仿宋_GB2312" w:hAnsi="仿宋_GB2312" w:cs="仿宋_GB2312" w:eastAsia="仿宋_GB2312"/>
                <w:sz w:val="24"/>
                <w:color w:val="000000"/>
              </w:rPr>
              <w:t>2.验收方法：按建设工程适用的规范或标准执行。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符合国家或行业现行有关施工质量验收规范“合格”标准。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3.基本资格条件承诺函.docx 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的《供应商基本资格条件承诺函》（未提供的供应商需提交以下资格证明文件:①财务状况报告：提供具有财务审计资质单位出具的2024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响应文件递截止时间前6个月内已缴纳的至少一个月的纳税证明或完税证明，依法免税的单位应提供相关证明材料；③社会保障资金缴纳证明：提供响应文件递截止时间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3.基本资格条件承诺函.docx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4.非联合体磋商承诺函.docx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参与本项目的供应商全部为符合政策要求的小微企业。</w:t>
            </w:r>
          </w:p>
        </w:tc>
        <w:tc>
          <w:tcPr>
            <w:tcW w:type="dxa" w:w="1661"/>
          </w:tcPr>
          <w:p>
            <w:pPr>
              <w:pStyle w:val="null3"/>
            </w:pPr>
            <w:r>
              <w:rPr>
                <w:rFonts w:ascii="仿宋_GB2312" w:hAnsi="仿宋_GB2312" w:cs="仿宋_GB2312" w:eastAsia="仿宋_GB2312"/>
              </w:rPr>
              <w:t>5.1中小企业声明函 5.2残疾人福利性单位声明函 5.3监狱企业的证明文件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6.法定代表人授权书或身份证明.docx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具有独立承担民事责任能力的法人、其他组织或自然人，并出具合法有效的营业执照或事业单位法人证书等国家规定的合法证明文件，自然人参与的提供其身份证。</w:t>
            </w:r>
          </w:p>
        </w:tc>
        <w:tc>
          <w:tcPr>
            <w:tcW w:type="dxa" w:w="1661"/>
          </w:tcPr>
          <w:p>
            <w:pPr>
              <w:pStyle w:val="null3"/>
            </w:pPr>
            <w:r>
              <w:rPr>
                <w:rFonts w:ascii="仿宋_GB2312" w:hAnsi="仿宋_GB2312" w:cs="仿宋_GB2312" w:eastAsia="仿宋_GB2312"/>
              </w:rPr>
              <w:t>7.供应商提交的相关资格证明材料.docx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供应商须具备建设行政主管部门颁发的市政公用工程施工总承包三级及以上资质，且具备有效的安全生产许可证。</w:t>
            </w:r>
          </w:p>
        </w:tc>
        <w:tc>
          <w:tcPr>
            <w:tcW w:type="dxa" w:w="1661"/>
          </w:tcPr>
          <w:p>
            <w:pPr>
              <w:pStyle w:val="null3"/>
            </w:pPr>
            <w:r>
              <w:rPr>
                <w:rFonts w:ascii="仿宋_GB2312" w:hAnsi="仿宋_GB2312" w:cs="仿宋_GB2312" w:eastAsia="仿宋_GB2312"/>
              </w:rPr>
              <w:t>7.供应商提交的相关资格证明材料.docx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拟派项目负责人具备市政公用工程专业二级及以上注册建造师证书和有效的安全生产考核合格证（B证），且无在建工程（提供无在建承诺书）。</w:t>
            </w:r>
          </w:p>
        </w:tc>
        <w:tc>
          <w:tcPr>
            <w:tcW w:type="dxa" w:w="1661"/>
          </w:tcPr>
          <w:p>
            <w:pPr>
              <w:pStyle w:val="null3"/>
            </w:pPr>
            <w:r>
              <w:rPr>
                <w:rFonts w:ascii="仿宋_GB2312" w:hAnsi="仿宋_GB2312" w:cs="仿宋_GB2312" w:eastAsia="仿宋_GB2312"/>
              </w:rPr>
              <w:t>8.项目负责人简历表.docx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9.1报价函 9.3报价函附录.docx 9.2标的清单 9.4已标价工程量清单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（1）供应商名称：与营业执照、资质证书、安全生产许可证及响应文件的签署盖章一致。（2）响应文件签字盖章：符合磋商文件“第七章 响应文件格式”的规定。（3）报价唯一：只能有一个有效报价，不得提交选择性报价，且报价不超过磋商文件规定的采购预算金额及最高限价。（4）响应文件格式：符合磋商文件“第七章 响应文件格式”的要求 。</w:t>
            </w:r>
          </w:p>
        </w:tc>
        <w:tc>
          <w:tcPr>
            <w:tcW w:type="dxa" w:w="1661"/>
          </w:tcPr>
          <w:p>
            <w:pPr>
              <w:pStyle w:val="null3"/>
            </w:pPr>
            <w:r>
              <w:rPr>
                <w:rFonts w:ascii="仿宋_GB2312" w:hAnsi="仿宋_GB2312" w:cs="仿宋_GB2312" w:eastAsia="仿宋_GB2312"/>
              </w:rPr>
              <w:t>5.1中小企业声明函 6.法定代表人授权书或身份证明.docx 3.基本资格条件承诺函.docx 2.响应函 8.项目负责人简历表.docx 9.3报价函附录.docx 5.2残疾人福利性单位声明函 5.3监狱企业的证明文件 7.供应商提交的相关资格证明材料.docx 1.响应文件封面 4.非联合体磋商承诺函.docx 9.4已标价工程量清单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9.3报价函附录.docx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9.3报价函附录.docx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9.3报价函附录.docx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针对本项目编制完善的施工部署及准备： 1.方案内容全面、具体、科学，可行性强（6-8分]； 2.方案内容基本全面、具体，可行性较强（4-6分]； 3.方案内容笼统，可行性有待考究（0-4分]。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针对本项目工程质量技术措施详细、科学、符合项目需求： 1.技术措施内容全面详细、阐述清晰，符合项目需求（6-8分]； 2.技术措施内容简单、阐述模糊，基本符合项目需求（4-6分]； 3.技术措施内容粗略、阐述混乱，不完全符合项目需求（0-4分]。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针对本项目安全施工技术措施详实、切实可行： 1.技术措施内容全面、具体，可行性强（6-8分]； 2.技术措施内容基本全面，可行性较强（4-6分]； 3.技术措施内容简单，可行性一般（0-4分]。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针对本项目文明施工技术措施具体可行：1.技术措施内容全面、具体，可行性强（4-6分]；2.技术措施内容基本全面，可行性较强（2-4分]； 3.技术措施内容简单，可行性一般（0-2分]。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针对本项目环境保护技术措施（包含治污减霾措施）具体可行： 1.技术措施内容全面、科学，可行性强（4-6分]； 2.技术措施内容基本全面，可行性较强（2-4分]； 3.技术措施内容简单，可行性一般（0-2分]。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针对本项目工期的技术措施全面、具体，满足工期要求： 1.技术措施内容全面、具体，优于工期要求（6-8分]； 2.技术措施内容基本全面，完全响应工期要求（4-6分]； 3.技术措施内容简单，响应工期要求（0-4分]。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针对本项目施工进度计划安排科学、合理： 1.施工进度安排内容均衡资源、控制节点明确，可实施性强（6-8分]； 2.施工进度安排内容均衡资源、控制节点较明确，可实施性较强（4-6分]； 3.施工进度安排内容资源利用不合理、控制节点模糊，可实施性一般（0-4分]。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针对本项目拟投入的主要设备先进，劳动力配备齐全： 1.拟投入的主要设备适合项目需要，数量充足，劳动力配备齐全（4-6分]； 2.拟投入的主要设备适合项目需要，数量较足，劳动力配备较齐全（2-4分]； 3.拟投入的主要设备适合项目需要，数量不足，劳动力配备一般（0-2分]。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针对本项目经理部组成人员结构合理，人员配备齐全： 1.项目经理部人员职责清晰、专业齐全，人员配备合理（4-6分]； 2.项目经理部人员职责较清晰、专业较齐全，人员配备较合理（2-4分]； 3.项目经理部人员职责不清晰、专业不齐全，人员配备一般（0-2分]。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今（以签署时间为准）类似项目业绩，每提供1份计2分，最高得6分。业绩证明（以合同或中标通知书为准，须在磋商响应文件中附以上证明材料能体现项目内容、金额、时间、签字盖章等主要内容的扫描页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1.经资格审查和符合性审查合格的磋商响应文件，其报价为有效磋商报价。 2.最终报价最低的供应商价格为磋商基准价，其价格分为满分30分。 3.其它供应商价格得分为：磋商报价得分=（磋商基准价/最终磋商报价）×30。 4.最终结果数字小数点后保留两位小数，第三位“四舍五入”。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9.1报价函</w:t>
            </w:r>
          </w:p>
          <w:p>
            <w:pPr>
              <w:pStyle w:val="null3"/>
            </w:pPr>
            <w:r>
              <w:rPr>
                <w:rFonts w:ascii="仿宋_GB2312" w:hAnsi="仿宋_GB2312" w:cs="仿宋_GB2312" w:eastAsia="仿宋_GB2312"/>
              </w:rPr>
              <w:t>9.4已标价工程量清单</w:t>
            </w:r>
          </w:p>
          <w:p>
            <w:pPr>
              <w:pStyle w:val="null3"/>
            </w:pPr>
            <w:r>
              <w:rPr>
                <w:rFonts w:ascii="仿宋_GB2312" w:hAnsi="仿宋_GB2312" w:cs="仿宋_GB2312" w:eastAsia="仿宋_GB2312"/>
              </w:rPr>
              <w:t>9.2标的清单</w:t>
            </w:r>
          </w:p>
          <w:p>
            <w:pPr>
              <w:pStyle w:val="null3"/>
            </w:pPr>
            <w:r>
              <w:rPr>
                <w:rFonts w:ascii="仿宋_GB2312" w:hAnsi="仿宋_GB2312" w:cs="仿宋_GB2312" w:eastAsia="仿宋_GB2312"/>
              </w:rPr>
              <w:t>9.3报价函附录.docx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详见附件：3.基本资格条件承诺函.docx</w:t>
      </w:r>
    </w:p>
    <w:p>
      <w:pPr>
        <w:pStyle w:val="null3"/>
        <w:ind w:firstLine="960"/>
      </w:pPr>
      <w:r>
        <w:rPr>
          <w:rFonts w:ascii="仿宋_GB2312" w:hAnsi="仿宋_GB2312" w:cs="仿宋_GB2312" w:eastAsia="仿宋_GB2312"/>
        </w:rPr>
        <w:t>详见附件：4.非联合体磋商承诺函.docx</w:t>
      </w:r>
    </w:p>
    <w:p>
      <w:pPr>
        <w:pStyle w:val="null3"/>
        <w:ind w:firstLine="960"/>
      </w:pPr>
      <w:r>
        <w:rPr>
          <w:rFonts w:ascii="仿宋_GB2312" w:hAnsi="仿宋_GB2312" w:cs="仿宋_GB2312" w:eastAsia="仿宋_GB2312"/>
        </w:rPr>
        <w:t>详见附件：5.1中小企业声明函</w:t>
      </w:r>
    </w:p>
    <w:p>
      <w:pPr>
        <w:pStyle w:val="null3"/>
        <w:ind w:firstLine="960"/>
      </w:pPr>
      <w:r>
        <w:rPr>
          <w:rFonts w:ascii="仿宋_GB2312" w:hAnsi="仿宋_GB2312" w:cs="仿宋_GB2312" w:eastAsia="仿宋_GB2312"/>
        </w:rPr>
        <w:t>详见附件：5.2残疾人福利性单位声明函</w:t>
      </w:r>
    </w:p>
    <w:p>
      <w:pPr>
        <w:pStyle w:val="null3"/>
        <w:ind w:firstLine="960"/>
      </w:pPr>
      <w:r>
        <w:rPr>
          <w:rFonts w:ascii="仿宋_GB2312" w:hAnsi="仿宋_GB2312" w:cs="仿宋_GB2312" w:eastAsia="仿宋_GB2312"/>
        </w:rPr>
        <w:t>详见附件：5.3监狱企业的证明文件</w:t>
      </w:r>
    </w:p>
    <w:p>
      <w:pPr>
        <w:pStyle w:val="null3"/>
        <w:ind w:firstLine="960"/>
      </w:pPr>
      <w:r>
        <w:rPr>
          <w:rFonts w:ascii="仿宋_GB2312" w:hAnsi="仿宋_GB2312" w:cs="仿宋_GB2312" w:eastAsia="仿宋_GB2312"/>
        </w:rPr>
        <w:t>详见附件：6.法定代表人授权书或身份证明.docx</w:t>
      </w:r>
    </w:p>
    <w:p>
      <w:pPr>
        <w:pStyle w:val="null3"/>
        <w:ind w:firstLine="960"/>
      </w:pPr>
      <w:r>
        <w:rPr>
          <w:rFonts w:ascii="仿宋_GB2312" w:hAnsi="仿宋_GB2312" w:cs="仿宋_GB2312" w:eastAsia="仿宋_GB2312"/>
        </w:rPr>
        <w:t>详见附件：7.供应商提交的相关资格证明材料.docx</w:t>
      </w:r>
    </w:p>
    <w:p>
      <w:pPr>
        <w:pStyle w:val="null3"/>
        <w:ind w:firstLine="960"/>
      </w:pPr>
      <w:r>
        <w:rPr>
          <w:rFonts w:ascii="仿宋_GB2312" w:hAnsi="仿宋_GB2312" w:cs="仿宋_GB2312" w:eastAsia="仿宋_GB2312"/>
        </w:rPr>
        <w:t>详见附件：8.项目负责人简历表.docx</w:t>
      </w:r>
    </w:p>
    <w:p>
      <w:pPr>
        <w:pStyle w:val="null3"/>
        <w:ind w:firstLine="960"/>
      </w:pPr>
      <w:r>
        <w:rPr>
          <w:rFonts w:ascii="仿宋_GB2312" w:hAnsi="仿宋_GB2312" w:cs="仿宋_GB2312" w:eastAsia="仿宋_GB2312"/>
        </w:rPr>
        <w:t>详见附件：9.1报价函</w:t>
      </w:r>
    </w:p>
    <w:p>
      <w:pPr>
        <w:pStyle w:val="null3"/>
        <w:ind w:firstLine="960"/>
      </w:pPr>
      <w:r>
        <w:rPr>
          <w:rFonts w:ascii="仿宋_GB2312" w:hAnsi="仿宋_GB2312" w:cs="仿宋_GB2312" w:eastAsia="仿宋_GB2312"/>
        </w:rPr>
        <w:t>详见附件：9.2标的清单</w:t>
      </w:r>
    </w:p>
    <w:p>
      <w:pPr>
        <w:pStyle w:val="null3"/>
        <w:ind w:firstLine="960"/>
      </w:pPr>
      <w:r>
        <w:rPr>
          <w:rFonts w:ascii="仿宋_GB2312" w:hAnsi="仿宋_GB2312" w:cs="仿宋_GB2312" w:eastAsia="仿宋_GB2312"/>
        </w:rPr>
        <w:t>详见附件：9.3报价函附录.docx</w:t>
      </w:r>
    </w:p>
    <w:p>
      <w:pPr>
        <w:pStyle w:val="null3"/>
        <w:ind w:firstLine="960"/>
      </w:pPr>
      <w:r>
        <w:rPr>
          <w:rFonts w:ascii="仿宋_GB2312" w:hAnsi="仿宋_GB2312" w:cs="仿宋_GB2312" w:eastAsia="仿宋_GB2312"/>
        </w:rPr>
        <w:t>详见附件：9.4已标价工程量清单</w:t>
      </w:r>
    </w:p>
    <w:p>
      <w:pPr>
        <w:pStyle w:val="null3"/>
        <w:ind w:firstLine="960"/>
      </w:pPr>
      <w:r>
        <w:rPr>
          <w:rFonts w:ascii="仿宋_GB2312" w:hAnsi="仿宋_GB2312" w:cs="仿宋_GB2312" w:eastAsia="仿宋_GB2312"/>
        </w:rPr>
        <w:t>详见附件：10.实施方案.docx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