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版本号：HYZB20260007-20260325001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西安市临潼区三府村生活垃圾填埋场2026年至2027年第1季度监测服务项目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HYZB20260007-</w:t>
      </w:r>
      <w:r>
        <w:br/>
      </w:r>
      <w:r>
        <w:br/>
      </w:r>
      <w:r>
        <w:br/>
      </w:r>
    </w:p>
    <w:p>
      <w:pPr>
        <w:pStyle w:val="null3"/>
        <w:jc w:val="center"/>
        <w:outlineLvl w:val="2"/>
      </w:pPr>
      <w:r>
        <w:rPr>
          <w:rFonts w:ascii="仿宋_GB2312" w:hAnsi="仿宋_GB2312" w:cs="仿宋_GB2312" w:eastAsia="仿宋_GB2312"/>
          <w:sz w:val="28"/>
          <w:b/>
        </w:rPr>
        <w:t>西安市临潼区环境卫生管理服务中心</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西安市临潼区环境卫生管理服务中心</w:t>
      </w:r>
      <w:r>
        <w:rPr>
          <w:rFonts w:ascii="仿宋_GB2312" w:hAnsi="仿宋_GB2312" w:cs="仿宋_GB2312" w:eastAsia="仿宋_GB2312"/>
        </w:rPr>
        <w:t>委托，拟对</w:t>
      </w:r>
      <w:r>
        <w:rPr>
          <w:rFonts w:ascii="仿宋_GB2312" w:hAnsi="仿宋_GB2312" w:cs="仿宋_GB2312" w:eastAsia="仿宋_GB2312"/>
        </w:rPr>
        <w:t>西安市临潼区三府村生活垃圾填埋场2026年至2027年第1季度监测服务项目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HYZB20260007-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西安市临潼区三府村生活垃圾填埋场2026年至2027年第1季度监测服务项目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西安市临潼区三府村生活垃圾填埋场2026年至2027年第1季度排污许可例行监测、污水在线监测设备技术服务。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采购包1（西安市临潼区三府村生活垃圾填埋场2026年至2027年第1季度监测服务项目）：属于专门面向中小企业采购。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4、供应商资格要求：提供具有省级及以上质量技术监督部门颁发的检验检测机构资质认定证书（CMA）</w:t>
      </w:r>
    </w:p>
    <w:p>
      <w:pPr>
        <w:pStyle w:val="null3"/>
      </w:pPr>
      <w:r>
        <w:rPr>
          <w:rFonts w:ascii="仿宋_GB2312" w:hAnsi="仿宋_GB2312" w:cs="仿宋_GB2312" w:eastAsia="仿宋_GB2312"/>
        </w:rPr>
        <w:t>5、项目负责人：项目负责人应具备环境监测相关专业中级及以上职称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西安市临潼区环境卫生管理服务中心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临潼区姜寨北路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西安市临潼区环境卫生管理服务中心经办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029-83813046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采购包1：538,088.40元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发改价格[2011]534号向招标代理机构一次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西安市临潼区环境卫生管理服务中心</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西安市临潼区环境卫生管理服务中心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西安市临潼区环境卫生管理服务中心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地址：陕西省西安市临潼区文化西路37号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西安市临潼区三府村生活垃圾填埋场2026年至2027年第1季度排污许可例行监测、污水在线监测设备技术服务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538,088.40</w:t>
      </w:r>
    </w:p>
    <w:p>
      <w:pPr>
        <w:pStyle w:val="null3"/>
      </w:pPr>
      <w:r>
        <w:rPr>
          <w:rFonts w:ascii="仿宋_GB2312" w:hAnsi="仿宋_GB2312" w:cs="仿宋_GB2312" w:eastAsia="仿宋_GB2312"/>
        </w:rPr>
        <w:t>采购包最高限价（元）: 538,088.40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西安市临潼区三府村生活垃圾填埋场2026年至2027年第1季度监测服务项目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538,088.40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标的名称：西安市临潼区三府村生活垃圾填埋场2026年至2027年第1季度监测服务项目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一、采购内容</w:t>
            </w:r>
          </w:p>
          <w:p>
            <w:pPr>
              <w:pStyle w:val="null3"/>
              <w:ind w:firstLine="480"/>
              <w:jc w:val="left"/>
            </w:pPr>
            <w:r>
              <w:rPr>
                <w:rFonts w:ascii="仿宋_GB2312" w:hAnsi="仿宋_GB2312" w:cs="仿宋_GB2312" w:eastAsia="仿宋_GB2312"/>
                <w:sz w:val="24"/>
                <w:color w:val="000000"/>
              </w:rPr>
              <w:t>1、项目名称：西安市临潼区三府村生活垃圾填埋场2026年至2027年第1季度监测服务项目</w:t>
            </w:r>
          </w:p>
          <w:p>
            <w:pPr>
              <w:pStyle w:val="null3"/>
              <w:ind w:firstLine="480"/>
              <w:jc w:val="left"/>
            </w:pPr>
            <w:r>
              <w:rPr>
                <w:rFonts w:ascii="仿宋_GB2312" w:hAnsi="仿宋_GB2312" w:cs="仿宋_GB2312" w:eastAsia="仿宋_GB2312"/>
                <w:sz w:val="24"/>
                <w:color w:val="000000"/>
              </w:rPr>
              <w:t>2、工程概况：要求临潼区三府村生活垃圾卫生填埋场进行按照排污许可要求开展环境监测；并保障污水在线监测设备的正常运行。</w:t>
            </w:r>
          </w:p>
          <w:p>
            <w:pPr>
              <w:pStyle w:val="null3"/>
              <w:ind w:firstLine="480"/>
              <w:jc w:val="left"/>
            </w:pPr>
            <w:r>
              <w:rPr>
                <w:rFonts w:ascii="仿宋_GB2312" w:hAnsi="仿宋_GB2312" w:cs="仿宋_GB2312" w:eastAsia="仿宋_GB2312"/>
                <w:sz w:val="24"/>
                <w:color w:val="000000"/>
              </w:rPr>
              <w:t>3、工程地点：临潼区    服务期：自合同签订之日起至2027年3月31日。</w:t>
            </w:r>
          </w:p>
          <w:p>
            <w:pPr>
              <w:pStyle w:val="null3"/>
              <w:ind w:firstLine="480"/>
              <w:jc w:val="left"/>
            </w:pPr>
            <w:r>
              <w:rPr>
                <w:rFonts w:ascii="仿宋_GB2312" w:hAnsi="仿宋_GB2312" w:cs="仿宋_GB2312" w:eastAsia="仿宋_GB2312"/>
                <w:sz w:val="24"/>
                <w:color w:val="000000"/>
              </w:rPr>
              <w:t>4、项目负责人：项目负责人应具备环境监测相关专业中级及以上职称。</w:t>
            </w:r>
          </w:p>
          <w:p>
            <w:pPr>
              <w:pStyle w:val="null3"/>
              <w:ind w:firstLine="480"/>
              <w:jc w:val="both"/>
            </w:pPr>
            <w:r>
              <w:rPr>
                <w:rFonts w:ascii="仿宋_GB2312" w:hAnsi="仿宋_GB2312" w:cs="仿宋_GB2312" w:eastAsia="仿宋_GB2312"/>
                <w:sz w:val="24"/>
              </w:rPr>
              <w:t>5、付款方式：按月考核按月支付</w:t>
            </w:r>
          </w:p>
          <w:p>
            <w:pPr>
              <w:pStyle w:val="null3"/>
              <w:ind w:firstLine="480"/>
              <w:jc w:val="left"/>
            </w:pPr>
            <w:r>
              <w:rPr>
                <w:rFonts w:ascii="仿宋_GB2312" w:hAnsi="仿宋_GB2312" w:cs="仿宋_GB2312" w:eastAsia="仿宋_GB2312"/>
                <w:sz w:val="24"/>
                <w:color w:val="000000"/>
              </w:rPr>
              <w:t>二、排污许可年度例行检测</w:t>
            </w:r>
          </w:p>
          <w:p>
            <w:pPr>
              <w:pStyle w:val="null3"/>
              <w:ind w:firstLine="480"/>
              <w:jc w:val="both"/>
            </w:pPr>
            <w:r>
              <w:rPr>
                <w:rFonts w:ascii="仿宋_GB2312" w:hAnsi="仿宋_GB2312" w:cs="仿宋_GB2312" w:eastAsia="仿宋_GB2312"/>
                <w:sz w:val="24"/>
              </w:rPr>
              <w:t>1、监测要求：</w:t>
            </w:r>
          </w:p>
          <w:p>
            <w:pPr>
              <w:pStyle w:val="null3"/>
              <w:ind w:firstLine="480"/>
              <w:jc w:val="both"/>
            </w:pPr>
            <w:r>
              <w:rPr>
                <w:rFonts w:ascii="仿宋_GB2312" w:hAnsi="仿宋_GB2312" w:cs="仿宋_GB2312" w:eastAsia="仿宋_GB2312"/>
                <w:sz w:val="24"/>
              </w:rPr>
              <w:t>《生活垃圾填埋场污染控制标准》（</w:t>
            </w:r>
            <w:r>
              <w:rPr>
                <w:rFonts w:ascii="仿宋_GB2312" w:hAnsi="仿宋_GB2312" w:cs="仿宋_GB2312" w:eastAsia="仿宋_GB2312"/>
                <w:sz w:val="24"/>
              </w:rPr>
              <w:t>GB 16889）</w:t>
            </w:r>
          </w:p>
          <w:p>
            <w:pPr>
              <w:pStyle w:val="null3"/>
              <w:ind w:firstLine="480"/>
              <w:jc w:val="both"/>
            </w:pPr>
            <w:r>
              <w:rPr>
                <w:rFonts w:ascii="仿宋_GB2312" w:hAnsi="仿宋_GB2312" w:cs="仿宋_GB2312" w:eastAsia="仿宋_GB2312"/>
                <w:sz w:val="24"/>
              </w:rPr>
              <w:t>《排污单位自行监测技术指南</w:t>
            </w:r>
            <w:r>
              <w:rPr>
                <w:rFonts w:ascii="仿宋_GB2312" w:hAnsi="仿宋_GB2312" w:cs="仿宋_GB2312" w:eastAsia="仿宋_GB2312"/>
                <w:sz w:val="24"/>
              </w:rPr>
              <w:t>总则》（</w:t>
            </w:r>
            <w:r>
              <w:rPr>
                <w:rFonts w:ascii="仿宋_GB2312" w:hAnsi="仿宋_GB2312" w:cs="仿宋_GB2312" w:eastAsia="仿宋_GB2312"/>
                <w:sz w:val="24"/>
              </w:rPr>
              <w:t>HJ 819）</w:t>
            </w:r>
          </w:p>
          <w:p>
            <w:pPr>
              <w:pStyle w:val="null3"/>
              <w:ind w:firstLine="480"/>
              <w:jc w:val="both"/>
            </w:pPr>
            <w:r>
              <w:rPr>
                <w:rFonts w:ascii="仿宋_GB2312" w:hAnsi="仿宋_GB2312" w:cs="仿宋_GB2312" w:eastAsia="仿宋_GB2312"/>
                <w:sz w:val="24"/>
              </w:rPr>
              <w:t>《环境监测质量管理技术导则》（</w:t>
            </w:r>
            <w:r>
              <w:rPr>
                <w:rFonts w:ascii="仿宋_GB2312" w:hAnsi="仿宋_GB2312" w:cs="仿宋_GB2312" w:eastAsia="仿宋_GB2312"/>
                <w:sz w:val="24"/>
              </w:rPr>
              <w:t>HJ 630）</w:t>
            </w:r>
          </w:p>
          <w:p>
            <w:pPr>
              <w:pStyle w:val="null3"/>
              <w:ind w:firstLine="480"/>
              <w:jc w:val="both"/>
            </w:pPr>
            <w:r>
              <w:rPr>
                <w:rFonts w:ascii="仿宋_GB2312" w:hAnsi="仿宋_GB2312" w:cs="仿宋_GB2312" w:eastAsia="仿宋_GB2312"/>
                <w:sz w:val="24"/>
              </w:rPr>
              <w:t>《固定污染源监测质量保证与质量控制技术规范（试行）》（</w:t>
            </w:r>
            <w:r>
              <w:rPr>
                <w:rFonts w:ascii="仿宋_GB2312" w:hAnsi="仿宋_GB2312" w:cs="仿宋_GB2312" w:eastAsia="仿宋_GB2312"/>
                <w:sz w:val="24"/>
              </w:rPr>
              <w:t>HJ/T 373）</w:t>
            </w:r>
          </w:p>
          <w:p>
            <w:pPr>
              <w:pStyle w:val="null3"/>
              <w:ind w:firstLine="480"/>
              <w:jc w:val="both"/>
            </w:pPr>
            <w:r>
              <w:rPr>
                <w:rFonts w:ascii="仿宋_GB2312" w:hAnsi="仿宋_GB2312" w:cs="仿宋_GB2312" w:eastAsia="仿宋_GB2312"/>
                <w:sz w:val="24"/>
              </w:rPr>
              <w:t>《污水监测技术规范》（</w:t>
            </w:r>
            <w:r>
              <w:rPr>
                <w:rFonts w:ascii="仿宋_GB2312" w:hAnsi="仿宋_GB2312" w:cs="仿宋_GB2312" w:eastAsia="仿宋_GB2312"/>
                <w:sz w:val="24"/>
              </w:rPr>
              <w:t>HJ 91.1）</w:t>
            </w:r>
          </w:p>
          <w:p>
            <w:pPr>
              <w:pStyle w:val="null3"/>
              <w:ind w:firstLine="480"/>
              <w:jc w:val="both"/>
            </w:pPr>
            <w:r>
              <w:rPr>
                <w:rFonts w:ascii="仿宋_GB2312" w:hAnsi="仿宋_GB2312" w:cs="仿宋_GB2312" w:eastAsia="仿宋_GB2312"/>
                <w:sz w:val="24"/>
              </w:rPr>
              <w:t>《地下水环境监测技术规范》（</w:t>
            </w:r>
            <w:r>
              <w:rPr>
                <w:rFonts w:ascii="仿宋_GB2312" w:hAnsi="仿宋_GB2312" w:cs="仿宋_GB2312" w:eastAsia="仿宋_GB2312"/>
                <w:sz w:val="24"/>
              </w:rPr>
              <w:t>HJ 164）</w:t>
            </w:r>
          </w:p>
          <w:p>
            <w:pPr>
              <w:pStyle w:val="null3"/>
              <w:ind w:firstLine="480"/>
              <w:jc w:val="left"/>
            </w:pPr>
            <w:r>
              <w:rPr>
                <w:rFonts w:ascii="仿宋_GB2312" w:hAnsi="仿宋_GB2312" w:cs="仿宋_GB2312" w:eastAsia="仿宋_GB2312"/>
                <w:sz w:val="24"/>
              </w:rPr>
              <w:t>2、人员配置要求：</w:t>
            </w:r>
            <w:r>
              <w:rPr>
                <w:rFonts w:ascii="仿宋_GB2312" w:hAnsi="仿宋_GB2312" w:cs="仿宋_GB2312" w:eastAsia="仿宋_GB2312"/>
                <w:sz w:val="24"/>
                <w:color w:val="000000"/>
              </w:rPr>
              <w:t>现场采样和监测分析人员应持证上岗并接受过相应监测项目培训并取</w:t>
            </w:r>
            <w:r>
              <w:rPr>
                <w:rFonts w:ascii="仿宋_GB2312" w:hAnsi="仿宋_GB2312" w:cs="仿宋_GB2312" w:eastAsia="仿宋_GB2312"/>
                <w:sz w:val="24"/>
              </w:rPr>
              <w:t>得相应项目上岗证</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76"/>
              <w:gridCol w:w="176"/>
              <w:gridCol w:w="552"/>
              <w:gridCol w:w="336"/>
              <w:gridCol w:w="395"/>
              <w:gridCol w:w="422"/>
              <w:gridCol w:w="481"/>
            </w:tblGrid>
            <w:tr>
              <w:tc>
                <w:tcPr>
                  <w:tcW w:type="dxa" w:w="17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17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分项</w:t>
                  </w:r>
                </w:p>
              </w:tc>
              <w:tc>
                <w:tcPr>
                  <w:tcW w:type="dxa" w:w="5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项目</w:t>
                  </w:r>
                </w:p>
              </w:tc>
              <w:tc>
                <w:tcPr>
                  <w:tcW w:type="dxa" w:w="3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点位</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p>
              </w:tc>
              <w:tc>
                <w:tcPr>
                  <w:tcW w:type="dxa" w:w="3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样品数量</w:t>
                  </w:r>
                </w:p>
                <w:p>
                  <w:pPr>
                    <w:pStyle w:val="null3"/>
                    <w:jc w:val="center"/>
                  </w:pPr>
                  <w:r>
                    <w:rPr>
                      <w:rFonts w:ascii="仿宋_GB2312" w:hAnsi="仿宋_GB2312" w:cs="仿宋_GB2312" w:eastAsia="仿宋_GB2312"/>
                      <w:sz w:val="24"/>
                      <w:color w:val="000000"/>
                    </w:rPr>
                    <w:t>（样</w:t>
                  </w:r>
                  <w:r>
                    <w:rPr>
                      <w:rFonts w:ascii="仿宋_GB2312" w:hAnsi="仿宋_GB2312" w:cs="仿宋_GB2312" w:eastAsia="仿宋_GB2312"/>
                      <w:sz w:val="24"/>
                      <w:color w:val="000000"/>
                    </w:rPr>
                    <w:t>/次）</w:t>
                  </w:r>
                </w:p>
              </w:tc>
              <w:tc>
                <w:tcPr>
                  <w:tcW w:type="dxa" w:w="4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监测频次</w:t>
                  </w:r>
                </w:p>
              </w:tc>
              <w:tc>
                <w:tcPr>
                  <w:tcW w:type="dxa" w:w="4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监测次数</w:t>
                  </w:r>
                </w:p>
                <w:p>
                  <w:pPr>
                    <w:pStyle w:val="null3"/>
                    <w:jc w:val="center"/>
                  </w:pPr>
                  <w:r>
                    <w:rPr>
                      <w:rFonts w:ascii="仿宋_GB2312" w:hAnsi="仿宋_GB2312" w:cs="仿宋_GB2312" w:eastAsia="仿宋_GB2312"/>
                      <w:sz w:val="24"/>
                      <w:color w:val="000000"/>
                    </w:rPr>
                    <w:t>（次</w:t>
                  </w:r>
                  <w:r>
                    <w:rPr>
                      <w:rFonts w:ascii="仿宋_GB2312" w:hAnsi="仿宋_GB2312" w:cs="仿宋_GB2312" w:eastAsia="仿宋_GB2312"/>
                      <w:sz w:val="24"/>
                      <w:color w:val="000000"/>
                    </w:rPr>
                    <w:t>/年）</w:t>
                  </w:r>
                </w:p>
              </w:tc>
            </w:tr>
            <w:tr>
              <w:tc>
                <w:tcPr>
                  <w:tcW w:type="dxa" w:w="17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无组织废气</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气象参数</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硫化氢</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臭气浓度</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甲烷</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颗粒物</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有组织废气</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臭气浓度</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硫化氢</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甲烷</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地下水</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pH值</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耗氧量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挥发酚</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氟化物</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氯化物</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硝酸盐氮</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亚硝酸盐氮</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硫酸盐</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总硬度</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氨氮</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溶解性总固体</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氰化物</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砷</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汞</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六价铬</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铅</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镉</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铁</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锰</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铜</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锌</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总大肠菌群</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1次/2周</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r>
            <w:tr>
              <w:tc>
                <w:tcPr>
                  <w:tcW w:type="dxa" w:w="17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雨水</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pH值</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化学需氧量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悬浮物</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1次/月</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r>
            <w:tr>
              <w:tc>
                <w:tcPr>
                  <w:tcW w:type="dxa" w:w="17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渗滤液</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pH值</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流量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色度</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化学需氧量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五日生化需氧量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悬浮物</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总氮</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氨氮</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总磷</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粪大肠菌群数</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总汞</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总镉</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总铬</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六价铬</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总砷</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总铅</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1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噪声</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厂界噪声</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7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比对质控费用</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流量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1次/半年</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pH值</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1次/半年</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氨氮</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1次/半年</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7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化学需氧量</w:t>
                  </w:r>
                </w:p>
              </w:tc>
              <w:tc>
                <w:tcPr>
                  <w:tcW w:type="dxa" w:w="3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1次/半年</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76"/>
                  <w:vMerge/>
                  <w:tcBorders>
                    <w:top w:val="none" w:color="000000" w:sz="4"/>
                    <w:left w:val="single" w:color="000000" w:sz="4"/>
                    <w:bottom w:val="single" w:color="000000" w:sz="4"/>
                    <w:right w:val="single" w:color="000000" w:sz="4"/>
                  </w:tcBorders>
                </w:tcPr>
                <w:p/>
              </w:tc>
              <w:tc>
                <w:tcPr>
                  <w:tcW w:type="dxa" w:w="1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比对监测费用</w:t>
                  </w:r>
                </w:p>
              </w:tc>
              <w:tc>
                <w:tcPr>
                  <w:tcW w:type="dxa" w:w="1705"/>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在线监测设备比对，共</w:t>
                  </w:r>
                  <w:r>
                    <w:rPr>
                      <w:rFonts w:ascii="仿宋_GB2312" w:hAnsi="仿宋_GB2312" w:cs="仿宋_GB2312" w:eastAsia="仿宋_GB2312"/>
                      <w:sz w:val="24"/>
                      <w:color w:val="000000"/>
                    </w:rPr>
                    <w:t>2次</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0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排污许可数据填报</w:t>
                  </w:r>
                </w:p>
              </w:tc>
              <w:tc>
                <w:tcPr>
                  <w:tcW w:type="dxa" w:w="1153"/>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每逢双周填报</w:t>
                  </w:r>
                  <w:r>
                    <w:rPr>
                      <w:rFonts w:ascii="仿宋_GB2312" w:hAnsi="仿宋_GB2312" w:cs="仿宋_GB2312" w:eastAsia="仿宋_GB2312"/>
                      <w:sz w:val="24"/>
                      <w:color w:val="000000"/>
                    </w:rPr>
                    <w:t>1次，共26次</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0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执行报告季报</w:t>
                  </w:r>
                </w:p>
              </w:tc>
              <w:tc>
                <w:tcPr>
                  <w:tcW w:type="dxa" w:w="1153"/>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每季度</w:t>
                  </w:r>
                  <w:r>
                    <w:rPr>
                      <w:rFonts w:ascii="仿宋_GB2312" w:hAnsi="仿宋_GB2312" w:cs="仿宋_GB2312" w:eastAsia="仿宋_GB2312"/>
                      <w:sz w:val="24"/>
                      <w:color w:val="000000"/>
                    </w:rPr>
                    <w:t>1次，共4季</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0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执行报告年报</w:t>
                  </w:r>
                </w:p>
              </w:tc>
              <w:tc>
                <w:tcPr>
                  <w:tcW w:type="dxa" w:w="1153"/>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每季度</w:t>
                  </w:r>
                  <w:r>
                    <w:rPr>
                      <w:rFonts w:ascii="仿宋_GB2312" w:hAnsi="仿宋_GB2312" w:cs="仿宋_GB2312" w:eastAsia="仿宋_GB2312"/>
                      <w:sz w:val="24"/>
                      <w:color w:val="000000"/>
                    </w:rPr>
                    <w:t>1次，共1年</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0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生态业务统计年报</w:t>
                  </w:r>
                </w:p>
              </w:tc>
              <w:tc>
                <w:tcPr>
                  <w:tcW w:type="dxa" w:w="1153"/>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每年一次，共</w:t>
                  </w:r>
                  <w:r>
                    <w:rPr>
                      <w:rFonts w:ascii="仿宋_GB2312" w:hAnsi="仿宋_GB2312" w:cs="仿宋_GB2312" w:eastAsia="仿宋_GB2312"/>
                      <w:sz w:val="24"/>
                      <w:color w:val="000000"/>
                    </w:rPr>
                    <w:t>1年</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0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1153"/>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检测综合单价，包含采样费、固定费、前处理费、分析费</w:t>
                  </w:r>
                </w:p>
              </w:tc>
              <w:tc>
                <w:tcPr>
                  <w:tcW w:type="dxa" w:w="4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bl>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污水在线</w:t>
            </w:r>
            <w:r>
              <w:rPr>
                <w:rFonts w:ascii="仿宋_GB2312" w:hAnsi="仿宋_GB2312" w:cs="仿宋_GB2312" w:eastAsia="仿宋_GB2312"/>
                <w:sz w:val="24"/>
              </w:rPr>
              <w:t>监测</w:t>
            </w:r>
            <w:r>
              <w:rPr>
                <w:rFonts w:ascii="仿宋_GB2312" w:hAnsi="仿宋_GB2312" w:cs="仿宋_GB2312" w:eastAsia="仿宋_GB2312"/>
                <w:sz w:val="24"/>
              </w:rPr>
              <w:t>技术服务</w:t>
            </w:r>
          </w:p>
          <w:p>
            <w:pPr>
              <w:pStyle w:val="null3"/>
              <w:ind w:firstLine="480"/>
              <w:jc w:val="both"/>
            </w:pPr>
            <w:r>
              <w:rPr>
                <w:rFonts w:ascii="仿宋_GB2312" w:hAnsi="仿宋_GB2312" w:cs="仿宋_GB2312" w:eastAsia="仿宋_GB2312"/>
                <w:sz w:val="24"/>
              </w:rPr>
              <w:t>1、污水在线监测技术要求:</w:t>
            </w:r>
          </w:p>
          <w:p>
            <w:pPr>
              <w:pStyle w:val="null3"/>
              <w:ind w:firstLine="480"/>
              <w:jc w:val="both"/>
            </w:pPr>
            <w:r>
              <w:rPr>
                <w:rFonts w:ascii="仿宋_GB2312" w:hAnsi="仿宋_GB2312" w:cs="仿宋_GB2312" w:eastAsia="仿宋_GB2312"/>
                <w:sz w:val="24"/>
              </w:rPr>
              <w:t>(1)HJ355-2019《水污染源在线监测系统（COD</w:t>
            </w:r>
            <w:r>
              <w:rPr>
                <w:rFonts w:ascii="仿宋_GB2312" w:hAnsi="仿宋_GB2312" w:cs="仿宋_GB2312" w:eastAsia="仿宋_GB2312"/>
                <w:sz w:val="24"/>
                <w:vertAlign w:val="subscript"/>
              </w:rPr>
              <w:t>cr</w:t>
            </w:r>
            <w:r>
              <w:rPr>
                <w:rFonts w:ascii="仿宋_GB2312" w:hAnsi="仿宋_GB2312" w:cs="仿宋_GB2312" w:eastAsia="仿宋_GB2312"/>
                <w:sz w:val="24"/>
              </w:rPr>
              <w:t>、</w:t>
            </w:r>
            <w:r>
              <w:rPr>
                <w:rFonts w:ascii="仿宋_GB2312" w:hAnsi="仿宋_GB2312" w:cs="仿宋_GB2312" w:eastAsia="仿宋_GB2312"/>
                <w:sz w:val="24"/>
              </w:rPr>
              <w:t>NH</w:t>
            </w:r>
            <w:r>
              <w:rPr>
                <w:rFonts w:ascii="仿宋_GB2312" w:hAnsi="仿宋_GB2312" w:cs="仿宋_GB2312" w:eastAsia="仿宋_GB2312"/>
                <w:sz w:val="24"/>
                <w:vertAlign w:val="subscript"/>
              </w:rPr>
              <w:t xml:space="preserve">3 </w:t>
            </w:r>
            <w:r>
              <w:rPr>
                <w:rFonts w:ascii="仿宋_GB2312" w:hAnsi="仿宋_GB2312" w:cs="仿宋_GB2312" w:eastAsia="仿宋_GB2312"/>
                <w:sz w:val="24"/>
              </w:rPr>
              <w:t>-N等）</w:t>
            </w:r>
            <w:r>
              <w:rPr>
                <w:rFonts w:ascii="仿宋_GB2312" w:hAnsi="仿宋_GB2312" w:cs="仿宋_GB2312" w:eastAsia="仿宋_GB2312"/>
                <w:sz w:val="24"/>
              </w:rPr>
              <w:t>运行技术规范》；</w:t>
            </w:r>
          </w:p>
          <w:p>
            <w:pPr>
              <w:pStyle w:val="null3"/>
              <w:ind w:firstLine="480"/>
              <w:jc w:val="both"/>
            </w:pPr>
            <w:r>
              <w:rPr>
                <w:rFonts w:ascii="仿宋_GB2312" w:hAnsi="仿宋_GB2312" w:cs="仿宋_GB2312" w:eastAsia="仿宋_GB2312"/>
                <w:sz w:val="24"/>
              </w:rPr>
              <w:t>(2)HJ356-2019《水污染源在线监测系统（COD</w:t>
            </w:r>
            <w:r>
              <w:rPr>
                <w:rFonts w:ascii="仿宋_GB2312" w:hAnsi="仿宋_GB2312" w:cs="仿宋_GB2312" w:eastAsia="仿宋_GB2312"/>
                <w:sz w:val="24"/>
                <w:vertAlign w:val="subscript"/>
              </w:rPr>
              <w:t>cr</w:t>
            </w:r>
            <w:r>
              <w:rPr>
                <w:rFonts w:ascii="仿宋_GB2312" w:hAnsi="仿宋_GB2312" w:cs="仿宋_GB2312" w:eastAsia="仿宋_GB2312"/>
                <w:sz w:val="24"/>
              </w:rPr>
              <w:t>、</w:t>
            </w:r>
            <w:r>
              <w:rPr>
                <w:rFonts w:ascii="仿宋_GB2312" w:hAnsi="仿宋_GB2312" w:cs="仿宋_GB2312" w:eastAsia="仿宋_GB2312"/>
                <w:sz w:val="24"/>
              </w:rPr>
              <w:t>NH</w:t>
            </w:r>
            <w:r>
              <w:rPr>
                <w:rFonts w:ascii="仿宋_GB2312" w:hAnsi="仿宋_GB2312" w:cs="仿宋_GB2312" w:eastAsia="仿宋_GB2312"/>
                <w:sz w:val="24"/>
                <w:vertAlign w:val="subscript"/>
              </w:rPr>
              <w:t xml:space="preserve">3 </w:t>
            </w:r>
            <w:r>
              <w:rPr>
                <w:rFonts w:ascii="仿宋_GB2312" w:hAnsi="仿宋_GB2312" w:cs="仿宋_GB2312" w:eastAsia="仿宋_GB2312"/>
                <w:sz w:val="24"/>
              </w:rPr>
              <w:t>-N等）数据有效性判别技术规范</w:t>
            </w:r>
            <w:r>
              <w:rPr>
                <w:rFonts w:ascii="仿宋_GB2312" w:hAnsi="仿宋_GB2312" w:cs="仿宋_GB2312" w:eastAsia="仿宋_GB2312"/>
                <w:sz w:val="24"/>
              </w:rPr>
              <w:t>》等相关技术要求。</w:t>
            </w:r>
          </w:p>
          <w:p>
            <w:pPr>
              <w:pStyle w:val="null3"/>
              <w:ind w:firstLine="480"/>
              <w:jc w:val="both"/>
            </w:pPr>
            <w:r>
              <w:rPr>
                <w:rFonts w:ascii="仿宋_GB2312" w:hAnsi="仿宋_GB2312" w:cs="仿宋_GB2312" w:eastAsia="仿宋_GB2312"/>
                <w:sz w:val="24"/>
              </w:rPr>
              <w:t>2、运维保障要求：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日常巡检（每周不少于</w:t>
            </w:r>
            <w:r>
              <w:rPr>
                <w:rFonts w:ascii="仿宋_GB2312" w:hAnsi="仿宋_GB2312" w:cs="仿宋_GB2312" w:eastAsia="仿宋_GB2312"/>
                <w:sz w:val="24"/>
              </w:rPr>
              <w:t>1次）、试剂更换、数据上传保障；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设备故障维修，单次维修配件费用低于人民币</w:t>
            </w:r>
            <w:r>
              <w:rPr>
                <w:rFonts w:ascii="仿宋_GB2312" w:hAnsi="仿宋_GB2312" w:cs="仿宋_GB2312" w:eastAsia="仿宋_GB2312"/>
                <w:sz w:val="24"/>
              </w:rPr>
              <w:t>2000元的部分由供应商承担，超出部分或重大设备更换由采购人另行支付；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运维台账记录：包括巡检记录、校准记录、维修记录等；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4）仪器设备应按规定进行检定或校准，并保持有效状态；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5）手工比对监测，按照排污许可证要求进行监测；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6）负责环保数据部门报送及迎检配合。</w:t>
            </w:r>
          </w:p>
          <w:p>
            <w:pPr>
              <w:pStyle w:val="null3"/>
              <w:ind w:firstLine="480"/>
              <w:jc w:val="both"/>
            </w:pPr>
            <w:r>
              <w:rPr>
                <w:rFonts w:ascii="仿宋_GB2312" w:hAnsi="仿宋_GB2312" w:cs="仿宋_GB2312" w:eastAsia="仿宋_GB2312"/>
                <w:sz w:val="24"/>
              </w:rPr>
              <w:t>3、运维人员配置:需接受相应项目运维技术培训并取得省级及以上环保产业协会培训证并提供相关培训证明。</w:t>
            </w:r>
          </w:p>
          <w:tbl>
            <w:tblPr>
              <w:tblBorders>
                <w:top w:val="none" w:color="000000" w:sz="4"/>
                <w:left w:val="none" w:color="000000" w:sz="4"/>
                <w:bottom w:val="none" w:color="000000" w:sz="4"/>
                <w:right w:val="none" w:color="000000" w:sz="4"/>
                <w:insideH w:val="none"/>
                <w:insideV w:val="none"/>
              </w:tblBorders>
            </w:tblPr>
            <w:tblGrid>
              <w:gridCol w:w="208"/>
              <w:gridCol w:w="282"/>
              <w:gridCol w:w="470"/>
              <w:gridCol w:w="204"/>
              <w:gridCol w:w="949"/>
              <w:gridCol w:w="440"/>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维保仪器名称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运维内容</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运营期（月）</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维护项目报价</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COD</w:t>
                  </w:r>
                  <w:r>
                    <w:rPr>
                      <w:rFonts w:ascii="仿宋_GB2312" w:hAnsi="仿宋_GB2312" w:cs="仿宋_GB2312" w:eastAsia="仿宋_GB2312"/>
                      <w:sz w:val="24"/>
                      <w:color w:val="000000"/>
                      <w:vertAlign w:val="subscript"/>
                    </w:rPr>
                    <w:t>cr</w:t>
                  </w:r>
                  <w:r>
                    <w:rPr>
                      <w:rFonts w:ascii="仿宋_GB2312" w:hAnsi="仿宋_GB2312" w:cs="仿宋_GB2312" w:eastAsia="仿宋_GB2312"/>
                      <w:sz w:val="24"/>
                      <w:color w:val="000000"/>
                    </w:rPr>
                    <w:t>、氨氮、</w:t>
                  </w:r>
                  <w:r>
                    <w:rPr>
                      <w:rFonts w:ascii="仿宋_GB2312" w:hAnsi="仿宋_GB2312" w:cs="仿宋_GB2312" w:eastAsia="仿宋_GB2312"/>
                      <w:sz w:val="24"/>
                      <w:color w:val="000000"/>
                    </w:rPr>
                    <w:t>p</w:t>
                  </w:r>
                  <w:r>
                    <w:rPr>
                      <w:rFonts w:ascii="仿宋_GB2312" w:hAnsi="仿宋_GB2312" w:cs="仿宋_GB2312" w:eastAsia="仿宋_GB2312"/>
                      <w:sz w:val="24"/>
                      <w:color w:val="000000"/>
                    </w:rPr>
                    <w:t>H、流量计、数采仪、自动采样器等</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专业服务人工、运维台账管理、每日平台查看数据、定期巡检校准、设备维修保养、试剂耗材、易损件，环保局定期汇报，即第三方专业运维全包服务。</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其他项目定期检查维修</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UPS、空调等辅助设施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定期检查，专业公司维修</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临潼区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季度完成监测任务后，供应商提交当季监测报告，采购人在收到报告后5个工作日内进行书面确认；如报告存在问题，供应商应在3个工作日内完成修改。全部服务完成后，采购人组织最终验收，验收合格后支付尾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项目进度达到30%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项目进度达到60%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排污许可年度例行监测和污水在线检测技术服务完成后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（1）供应商未按合同约定的时间提交监测报告的，每逾期一日，应向采购人支付合同总金额0.05%的违约金，逾期超过15日的，采购人有权单方解除合同。 （2）供应商提交的监测报告存在数据造假、结论严重失实等情形的，采购人有权解除合同，并要求供应商退还已支付的全部款项，同时承担合同总金额20%的违约金。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提供具有省级及以上质量技术监督部门颁发的检验检测机构资质认定证书（CMA）</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项目负责人应具备环境监测相关专业中级及以上职称</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磋商响应文件内容符合磋商文件要求，不能有任何采购人不能接受的附加条件。</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业绩.docx 有健全的技术管理和质量保证体系.docx 中小企业声明函 投入的设备及配置计划.docx 质量保证措施.docx 报价表 商务应答表.docx 工作重点与难点分析及对策.docx 应急预案和演练.docx 响应文件封面 进度保证措施.docx 履约能力.docx 人员配置.docx 投标人应提交的相关资格证明材料.docx 残疾人福利性单位声明函 标的清单 实施方案.docx 服务内容及服务要求应答表.docx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供应商针对本项目编制周密的实施方案，内容包含： ①配置合理性； ②分工明确性； ③监测成果分析； ④服务响应与保障机制； 二、评审标准： 1.完整性：方案必须全面，对评审内容中的各项要求有详细描述； 2.落地性：切合本项目实际情况，提出步骤清晰、合理并具有可实施性的方案； 3.针对性：方案能够紧扣项目实际情况，内容科学合理。 三、赋分标准(满分12分)①配置合理性：每完全满足一个评审标准得1分，满分3分； ②分工明确性：每完全满足一个评审标准得1分，满分3分； ③监测成果分析：每完全满足一个评审标准得1分，满3分。 ④服务响应与保障机制：每完全满足一个评审标准得1分，满3分。内容有缺陷或不完整每项扣0.5分。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工作重点与难点分析及对策</w:t>
            </w:r>
          </w:p>
        </w:tc>
        <w:tc>
          <w:tcPr>
            <w:tcW w:type="dxa" w:w="2492"/>
          </w:tcPr>
          <w:p>
            <w:pPr>
              <w:pStyle w:val="null3"/>
            </w:pPr>
            <w:r>
              <w:rPr>
                <w:rFonts w:ascii="仿宋_GB2312" w:hAnsi="仿宋_GB2312" w:cs="仿宋_GB2312" w:eastAsia="仿宋_GB2312"/>
              </w:rPr>
              <w:t>一、评审内容： 供应商针对本项目编制工作重点与难点分析及对策，内容包含： ①重点难点识别与原因分析； ②应对策略； 二、评审标准 1.完整性：响应必须全面，覆盖合同所有主要条款； 2.落地性：后期服务方案切合项目需求，机制清晰、可保障； 3.针对性：响应能够紧扣项目要求，有效保障履约。 三、赋分标准(满分6分) ①重点难点识别与原因分析：每完全满足一个评审标准得1分，满分3分； ②应对策略：每完全满足一个评审标准得1分，满分3分； 内容有缺陷或不完整每项扣0.5分。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工作重点与难点分析及对策.docx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供应商针对本项目编制检测结果的质量保证措施，内容包含： ①全过程质控措施； ②人员资质与培训； ③仪器设备管理。 二、评审标准 1.完整性：措施必须全面，覆盖检测全流程各环节； 2.落地性：切合本项目检测实际，流程清晰、可执行； 3.针对性：措施能够紧扣本项目检测特点，有效保障结果质量。 三、赋分标准(满分9分) ①全流程质控节点：每完全满足一个评审标准得1分，满分3分； ②人员职责与设备校准：每完全满足一个评审标准得1分，满分3分； ③仪器设备管理：每完全满足一个评审标准得1分，满分3分。内容有缺陷或不完整每项扣0.5分。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供应商针对本项目编制检测工作的进度保证措施，内容包含： ①进度计划与节点控制； ②风险预警与赶工预案； ③按期交付保障。 二、评审标准 1.完整性：措施必须全面，覆盖进度管控全维度； 2.落地性：切合本项目时限要求，节点清晰、可管控；3.针对性：措施能够紧扣项目进度风险，有效防范延期。 三、赋分标准(满分9分)①进度计划与资源调配：每完全满足一个评审标准得1分，满分3分； ②风险预警与赶工预案：每完全满足一个评审标准得1分，满分3分； ③按期交付保障：每完全满足一个评审标准得3分，满分3分。内容有缺陷或不完整每项扣0.5分。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投入的设备及配置计划</w:t>
            </w:r>
          </w:p>
        </w:tc>
        <w:tc>
          <w:tcPr>
            <w:tcW w:type="dxa" w:w="2492"/>
          </w:tcPr>
          <w:p>
            <w:pPr>
              <w:pStyle w:val="null3"/>
            </w:pPr>
            <w:r>
              <w:rPr>
                <w:rFonts w:ascii="仿宋_GB2312" w:hAnsi="仿宋_GB2312" w:cs="仿宋_GB2312" w:eastAsia="仿宋_GB2312"/>
              </w:rPr>
              <w:t>一、评审内容： 供应商针对本项目编制投入的设备及配置计划，内容包含： ①设备清单完整性与设备性能匹配度； ②校准状态与部署计划； ③备用保障。 二、评审标准 1.完整性：设备清单必须齐全，覆盖所有检测内容； 2.落地性：配置计划切合项目进度，设备部署可执行；3.针对性：设备性能与配置完全匹配本项目检测要求。 三、赋分标准(满分9分)①设备清单完整性与性能匹配度：每完全满足一个评审标准得3分，满分2分； ②校准状态与部署计划：每完全满足一个评审标准得1分，满分3分； ③备用保障：每完全满足一个评审标准得1分，满分3分。内容有缺陷或不完整每项扣0.5分。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投入的设备及配置计划.docx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有健全的技术管理和质量保证体系</w:t>
            </w:r>
          </w:p>
        </w:tc>
        <w:tc>
          <w:tcPr>
            <w:tcW w:type="dxa" w:w="2492"/>
          </w:tcPr>
          <w:p>
            <w:pPr>
              <w:pStyle w:val="null3"/>
            </w:pPr>
            <w:r>
              <w:rPr>
                <w:rFonts w:ascii="仿宋_GB2312" w:hAnsi="仿宋_GB2312" w:cs="仿宋_GB2312" w:eastAsia="仿宋_GB2312"/>
              </w:rPr>
              <w:t>一、评审内容： 供应商针对本项目建立健全的技术管理和质量保证体系，内容包含： ①组织架构与岗位权限； ②制度文件与内审机制； ③体系运行有效性。 二、评审标准 1.完整性：体系必须全面，覆盖技术与质量管控全维度； 2.落地性：切合本项目执行需求，组织与制度可运行；3.针对性：体系能够紧扣项目特点，有效支撑项目实施。 三、赋分标准(满分9分)①组织架构与岗位权限：每完全满足一个评审标准得1分，满分3分； ②制度文件与内审机制：每完全满足一个评审标准得1分，满分3分； ③体系运行有效性：每完全满足一个评审标准得1分，满分3分。内容有缺陷或不完整每项扣0.5分。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有健全的技术管理和质量保证体系.docx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供应商针对本项目配备的人员： ①排污许可年度例行监测人员； ②运维人员配置。提供相应监测项目培训上岗证和运维技术培训证。排污许可年度例行检测人员9人及（含9人）以上得6分；6-8人得4分； 3-5人得2分 ；少于3人不得分。 ②运维人员2人以上得2分；不提供不得分。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应急预案和演练</w:t>
            </w:r>
          </w:p>
        </w:tc>
        <w:tc>
          <w:tcPr>
            <w:tcW w:type="dxa" w:w="2492"/>
          </w:tcPr>
          <w:p>
            <w:pPr>
              <w:pStyle w:val="null3"/>
            </w:pPr>
            <w:r>
              <w:rPr>
                <w:rFonts w:ascii="仿宋_GB2312" w:hAnsi="仿宋_GB2312" w:cs="仿宋_GB2312" w:eastAsia="仿宋_GB2312"/>
              </w:rPr>
              <w:t>一、评审内容： 供应商针对本项目的应急事故处理方案①突发事件分级响应标准；②应急物资储备与演练计划； 二、评审标准 1.完整性：响应必须全面，覆盖合同所有主要条款； 2.落地性：后期服务方案切合项目需求，机制清晰、可保障； 3.针对性：响应能够紧扣合同要求，有效保障履约。 三、赋分标准(满分9分) ①突发事件分级响应标准：每完全满足一个评审标准得1.5分，满分4.5分； ②应急物资储备与演练计划：每完全满足一个评审标准得1.5分，满分4.5分。内容有缺陷或不完整每项扣0.5分。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应急预案和演练.docx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供应商针对本项目在响应文件中对后期服务等合同主要条款进行响应，内容包含： ①服务期限与服务内容； ②验收标准与售后服务； ③违约责任； 二、评审标准 1.完整性：响应必须全面，覆盖合同所有主要条款； 2.落地性：后期服务方案切合项目需求，机制清晰、可保障； 3.针对性：响应能够紧扣合同要求，有效保障履约。 三、赋分标准(满分9分) ①服务期限与服务内容：每完全满足一个评审标准得1分，满分3分； ②验收标准与售后服务：每完全满足一个评审标准得1分，满分3分； ③违约责任：每完全满足一个评审标准得1分，满分3分。内容有缺陷或不完整每项扣0.5分。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提供2023年3月至今承接过类似的项目业绩，每提供一份得2分，最高得10分；没有提供不得分。（业绩需提供项目中标通知书或服务合同盖章复印件，以合同签订日期或中标通知书日期为准）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详见附件：工作重点与难点分析及对策.docx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详见附件：投入的设备及配置计划.docx</w:t>
      </w:r>
    </w:p>
    <w:p>
      <w:pPr>
        <w:pStyle w:val="null3"/>
        <w:ind w:firstLine="960"/>
      </w:pPr>
      <w:r>
        <w:rPr>
          <w:rFonts w:ascii="仿宋_GB2312" w:hAnsi="仿宋_GB2312" w:cs="仿宋_GB2312" w:eastAsia="仿宋_GB2312"/>
        </w:rPr>
        <w:t>详见附件：有健全的技术管理和质量保证体系.docx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详见附件：应急预案和演练.docx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