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版本号：ZB2026-ZB004（CGB）20260414001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临潼区何寨街道马寨村、董家村生活污水处理项目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ZB2026-ZB004（CGB）</w:t>
      </w:r>
      <w:r>
        <w:br/>
      </w:r>
      <w:r>
        <w:br/>
      </w:r>
      <w:r>
        <w:br/>
      </w:r>
    </w:p>
    <w:p>
      <w:pPr>
        <w:pStyle w:val="null3"/>
        <w:jc w:val="center"/>
        <w:outlineLvl w:val="2"/>
      </w:pPr>
      <w:r>
        <w:rPr>
          <w:rFonts w:ascii="仿宋_GB2312" w:hAnsi="仿宋_GB2312" w:cs="仿宋_GB2312" w:eastAsia="仿宋_GB2312"/>
          <w:sz w:val="28"/>
          <w:b/>
        </w:rPr>
        <w:t>西安市临潼区何寨街道办事处</w:t>
      </w:r>
    </w:p>
    <w:p>
      <w:pPr>
        <w:pStyle w:val="null3"/>
        <w:jc w:val="center"/>
        <w:outlineLvl w:val="2"/>
      </w:pPr>
      <w:r>
        <w:rPr>
          <w:rFonts w:ascii="仿宋_GB2312" w:hAnsi="仿宋_GB2312" w:cs="仿宋_GB2312" w:eastAsia="仿宋_GB2312"/>
          <w:sz w:val="28"/>
          <w:b/>
        </w:rPr>
        <w:t>西安梓搏咨询管理有限公司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西安梓搏咨询管理有限公司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西安市临潼区何寨街道办事处</w:t>
      </w:r>
      <w:r>
        <w:rPr>
          <w:rFonts w:ascii="仿宋_GB2312" w:hAnsi="仿宋_GB2312" w:cs="仿宋_GB2312" w:eastAsia="仿宋_GB2312"/>
        </w:rPr>
        <w:t>委托，拟对</w:t>
      </w:r>
      <w:r>
        <w:rPr>
          <w:rFonts w:ascii="仿宋_GB2312" w:hAnsi="仿宋_GB2312" w:cs="仿宋_GB2312" w:eastAsia="仿宋_GB2312"/>
        </w:rPr>
        <w:t>临潼区何寨街道马寨村、董家村生活污水处理项目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ZB2026-ZB004（CGB）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临潼区何寨街道马寨村、董家村生活污水处理项目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本次项目位于何寨街道马寨村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采购包1（临潼区何寨街道马寨村、董家村生活污水处理项目）：属于专门面向中小企业采购。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2、供应商资质要求：供应商须具备市政公用工程施工总承包二级及以上资质，具有有效的安全生产许可证</w:t>
      </w:r>
    </w:p>
    <w:p>
      <w:pPr>
        <w:pStyle w:val="null3"/>
      </w:pPr>
      <w:r>
        <w:rPr>
          <w:rFonts w:ascii="仿宋_GB2312" w:hAnsi="仿宋_GB2312" w:cs="仿宋_GB2312" w:eastAsia="仿宋_GB2312"/>
        </w:rPr>
        <w:t>3、项目经理资质要求：拟派项目经理须具备市政公用工程二级及以上注册建造师执业资格，具有安全生产考核合格证，且在本单位注册，无在建工程</w:t>
      </w:r>
    </w:p>
    <w:p>
      <w:pPr>
        <w:pStyle w:val="null3"/>
      </w:pPr>
      <w:r>
        <w:rPr>
          <w:rFonts w:ascii="仿宋_GB2312" w:hAnsi="仿宋_GB2312" w:cs="仿宋_GB2312" w:eastAsia="仿宋_GB2312"/>
        </w:rPr>
        <w:t>4、法定代表人身份证明或法人授权委托书：提供法定代表人身份证明或法人授权委托书，后附法人及被委托人身份证（法定代表人直接参加投标的只需提供法定代表人身份证）</w:t>
      </w:r>
    </w:p>
    <w:p>
      <w:pPr>
        <w:pStyle w:val="null3"/>
      </w:pPr>
      <w:r>
        <w:rPr>
          <w:rFonts w:ascii="仿宋_GB2312" w:hAnsi="仿宋_GB2312" w:cs="仿宋_GB2312" w:eastAsia="仿宋_GB2312"/>
        </w:rPr>
        <w:t>5、供应商基本资格条件承诺：根据临财函〔2025〕199号《西安市临潼区财政局关于开展政府采购供应商基本资格条件承诺制试点工作的通知》，供应商需以书面形式提供规定格式的《基本资格条件承诺函》(详见资格证明文件中相关格式)，并对承诺内容的真实性负责。采购人可在中标(成交)结果公告后、签订政府采购合同前，核实中标(成交)供应商信用承诺事项的真实性。未提供《基本资格条件承诺函》的，须按照《中华人民共和国政府采购法》及其实施条例相关规定提供以下证明材料：①财务状况报告：提供2024年或2025年经审计的财务审计报告 (含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须提供相关证明材料；③无重大违法记录的书面声明：提供参加政府采购活动前三年内，在经营活动中没有重大违法记录的书面声明；④履行合同能力的承诺书：提供履行合同所必需的设备和专业技术能力的承诺书；⑤信用查询要求：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6、非联合体投标声明：本项目不接受联合体投标</w:t>
      </w:r>
    </w:p>
    <w:p>
      <w:pPr>
        <w:pStyle w:val="null3"/>
      </w:pPr>
      <w:r>
        <w:rPr>
          <w:rFonts w:ascii="仿宋_GB2312" w:hAnsi="仿宋_GB2312" w:cs="仿宋_GB2312" w:eastAsia="仿宋_GB2312"/>
        </w:rPr>
        <w:t>7、落实政府采购政策需满足的资格要求：本项目为专门面向中小企业项目，供应商应为中型企业或小型、微型企业或监狱企业或残疾人福利性单位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西安市临潼区何寨街道办事处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临潼区何寨街道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侍科长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18309269965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西安梓搏咨询管理有限公司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陕西省西安市临潼区环城东路东环路小区4号楼101室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马瑾瑜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029-83992983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领取中标通知书时，代理服务费参照计价格【2002】1980号、发改办价格【2003】857号及发改价格【2011】534号文件规定标准计算；工程量清单及招标控制价编制费率参照陕价行发【2014】88号取费标准计算，向“西安梓搏咨询管理有限公司”交纳。户 名：西安梓搏咨询管理有限公司 开户行：工商银行西安临潼区支行 账 号：3700 1733 092 0000 1856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西安市临潼区何寨街道办事处</w:t>
      </w:r>
      <w:r>
        <w:rPr>
          <w:rFonts w:ascii="仿宋_GB2312" w:hAnsi="仿宋_GB2312" w:cs="仿宋_GB2312" w:eastAsia="仿宋_GB2312"/>
        </w:rPr>
        <w:t>和</w:t>
      </w:r>
      <w:r>
        <w:rPr>
          <w:rFonts w:ascii="仿宋_GB2312" w:hAnsi="仿宋_GB2312" w:cs="仿宋_GB2312" w:eastAsia="仿宋_GB2312"/>
        </w:rPr>
        <w:t>西安梓搏咨询管理有限公司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西安市临潼区何寨街道办事处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西安梓搏咨询管理有限公司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西安市临潼区何寨街道办事处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西安梓搏咨询管理有限公司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西安梓搏咨询管理有限公司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联系人：马瑾瑜</w:t>
      </w:r>
    </w:p>
    <w:p>
      <w:pPr>
        <w:pStyle w:val="null3"/>
      </w:pPr>
      <w:r>
        <w:rPr>
          <w:rFonts w:ascii="仿宋_GB2312" w:hAnsi="仿宋_GB2312" w:cs="仿宋_GB2312" w:eastAsia="仿宋_GB2312"/>
        </w:rPr>
        <w:t>联系电话：029-83992983</w:t>
      </w:r>
    </w:p>
    <w:p>
      <w:pPr>
        <w:pStyle w:val="null3"/>
      </w:pPr>
      <w:r>
        <w:rPr>
          <w:rFonts w:ascii="仿宋_GB2312" w:hAnsi="仿宋_GB2312" w:cs="仿宋_GB2312" w:eastAsia="仿宋_GB2312"/>
        </w:rPr>
        <w:t>地址：西安市临潼区环城东路东环路小区4号楼101室</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3,400,000.00</w:t>
      </w:r>
    </w:p>
    <w:p>
      <w:pPr>
        <w:pStyle w:val="null3"/>
      </w:pPr>
      <w:r>
        <w:rPr>
          <w:rFonts w:ascii="仿宋_GB2312" w:hAnsi="仿宋_GB2312" w:cs="仿宋_GB2312" w:eastAsia="仿宋_GB2312"/>
        </w:rPr>
        <w:t>采购包最高限价（元）: 3,234,844.79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何寨街道马寨村生活污水处理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标的名称：何寨街道马寨村生活污水处理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left"/>
            </w:pPr>
            <w:r>
              <w:rPr>
                <w:rFonts w:ascii="仿宋_GB2312" w:hAnsi="仿宋_GB2312" w:cs="仿宋_GB2312" w:eastAsia="仿宋_GB2312"/>
                <w:sz w:val="24"/>
                <w:color w:val="000000"/>
              </w:rPr>
              <w:t>（一）工程内容：</w:t>
            </w:r>
          </w:p>
          <w:p>
            <w:pPr>
              <w:pStyle w:val="null3"/>
              <w:ind w:firstLine="482"/>
              <w:jc w:val="left"/>
            </w:pPr>
            <w:r>
              <w:rPr>
                <w:rFonts w:ascii="仿宋_GB2312" w:hAnsi="仿宋_GB2312" w:cs="仿宋_GB2312" w:eastAsia="仿宋_GB2312"/>
                <w:sz w:val="24"/>
                <w:color w:val="000000"/>
              </w:rPr>
              <w:t>1、新建污水处理站主要内容：</w:t>
            </w:r>
          </w:p>
          <w:p>
            <w:pPr>
              <w:pStyle w:val="null3"/>
              <w:ind w:firstLine="482"/>
              <w:jc w:val="left"/>
            </w:pPr>
            <w:r>
              <w:rPr>
                <w:rFonts w:ascii="仿宋_GB2312" w:hAnsi="仿宋_GB2312" w:cs="仿宋_GB2312" w:eastAsia="仿宋_GB2312"/>
                <w:sz w:val="24"/>
                <w:color w:val="000000"/>
              </w:rPr>
              <w:t>①新建1座钢筋混凝土污水处理站并配套一体化污水处理设备、污水站内电气设备安装以及自控设备、工艺管道的安装；②污水站内路面硬化、大门及围栏的安装；③新建设备间1座；④污水站内绿化（栽植草皮）；</w:t>
            </w:r>
          </w:p>
          <w:p>
            <w:pPr>
              <w:pStyle w:val="null3"/>
              <w:ind w:firstLine="482"/>
              <w:jc w:val="left"/>
            </w:pPr>
            <w:r>
              <w:rPr>
                <w:rFonts w:ascii="仿宋_GB2312" w:hAnsi="仿宋_GB2312" w:cs="仿宋_GB2312" w:eastAsia="仿宋_GB2312"/>
                <w:sz w:val="24"/>
                <w:color w:val="000000"/>
              </w:rPr>
              <w:t>2、新建污水管网工程主要内容：</w:t>
            </w:r>
          </w:p>
          <w:p>
            <w:pPr>
              <w:pStyle w:val="null3"/>
              <w:ind w:firstLine="482"/>
              <w:jc w:val="left"/>
            </w:pPr>
            <w:r>
              <w:rPr>
                <w:rFonts w:ascii="仿宋_GB2312" w:hAnsi="仿宋_GB2312" w:cs="仿宋_GB2312" w:eastAsia="仿宋_GB2312"/>
                <w:sz w:val="24"/>
                <w:color w:val="000000"/>
              </w:rPr>
              <w:t>①拆除铺设管网处原混凝土道路；②铺设部分污水主管网双壁波纹管DN300及住户门前支管道（位置：W333-W224-W219-W73-W74-污水处理站）；③新建成品塑料井21座，住户门前塑料检查井54座；④对管网铺设破损的道路进行修复。具体施工内容见图纸。</w:t>
            </w:r>
            <w:r>
              <w:rPr>
                <w:rFonts w:ascii="仿宋_GB2312" w:hAnsi="仿宋_GB2312" w:cs="仿宋_GB2312" w:eastAsia="仿宋_GB2312"/>
              </w:rPr>
              <w:t xml:space="preserve">   </w:t>
            </w:r>
          </w:p>
          <w:p>
            <w:pPr>
              <w:pStyle w:val="null3"/>
              <w:ind w:firstLine="482"/>
              <w:jc w:val="left"/>
            </w:pPr>
            <w:r>
              <w:rPr>
                <w:rFonts w:ascii="仿宋_GB2312" w:hAnsi="仿宋_GB2312" w:cs="仿宋_GB2312" w:eastAsia="仿宋_GB2312"/>
                <w:sz w:val="24"/>
                <w:color w:val="000000"/>
              </w:rPr>
              <w:t>（二）工程地点：</w:t>
            </w:r>
            <w:r>
              <w:rPr>
                <w:rFonts w:ascii="仿宋_GB2312" w:hAnsi="仿宋_GB2312" w:cs="仿宋_GB2312" w:eastAsia="仿宋_GB2312"/>
                <w:sz w:val="24"/>
                <w:color w:val="000000"/>
              </w:rPr>
              <w:t>何寨街道马寨村。</w:t>
            </w:r>
          </w:p>
          <w:p>
            <w:pPr>
              <w:pStyle w:val="null3"/>
              <w:ind w:firstLine="482"/>
              <w:jc w:val="left"/>
            </w:pPr>
            <w:r>
              <w:rPr>
                <w:rFonts w:ascii="仿宋_GB2312" w:hAnsi="仿宋_GB2312" w:cs="仿宋_GB2312" w:eastAsia="仿宋_GB2312"/>
                <w:sz w:val="24"/>
                <w:color w:val="000000"/>
              </w:rPr>
              <w:t>（三）计划工期</w:t>
            </w:r>
            <w:r>
              <w:rPr>
                <w:rFonts w:ascii="仿宋_GB2312" w:hAnsi="仿宋_GB2312" w:cs="仿宋_GB2312" w:eastAsia="仿宋_GB2312"/>
                <w:sz w:val="24"/>
                <w:color w:val="000000"/>
              </w:rPr>
              <w:t>：180日历天。</w:t>
            </w:r>
          </w:p>
          <w:p>
            <w:pPr>
              <w:pStyle w:val="null3"/>
              <w:ind w:firstLine="482"/>
              <w:jc w:val="left"/>
            </w:pPr>
            <w:r>
              <w:rPr>
                <w:rFonts w:ascii="仿宋_GB2312" w:hAnsi="仿宋_GB2312" w:cs="仿宋_GB2312" w:eastAsia="仿宋_GB2312"/>
                <w:sz w:val="24"/>
                <w:color w:val="000000"/>
              </w:rPr>
              <w:t>（四）质量验收标准或规范：</w:t>
            </w:r>
            <w:r>
              <w:rPr>
                <w:rFonts w:ascii="仿宋_GB2312" w:hAnsi="仿宋_GB2312" w:cs="仿宋_GB2312" w:eastAsia="仿宋_GB2312"/>
                <w:sz w:val="24"/>
                <w:color w:val="000000"/>
              </w:rPr>
              <w:t>合格。</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left"/>
            </w:pPr>
            <w:r>
              <w:rPr>
                <w:rFonts w:ascii="仿宋_GB2312" w:hAnsi="仿宋_GB2312" w:cs="仿宋_GB2312" w:eastAsia="仿宋_GB2312"/>
                <w:sz w:val="24"/>
                <w:color w:val="000000"/>
              </w:rPr>
              <w:t>（一）施工要求</w:t>
            </w:r>
          </w:p>
          <w:p>
            <w:pPr>
              <w:pStyle w:val="null3"/>
              <w:ind w:firstLine="480"/>
              <w:jc w:val="left"/>
            </w:pPr>
            <w:r>
              <w:rPr>
                <w:rFonts w:ascii="仿宋_GB2312" w:hAnsi="仿宋_GB2312" w:cs="仿宋_GB2312" w:eastAsia="仿宋_GB2312"/>
                <w:sz w:val="24"/>
                <w:color w:val="000000"/>
              </w:rPr>
              <w:t>1、所有施工和材料所涉及的标准规范（如产品标准/规范、工程标准/规范、验收标准/规范等）须完全符合所有中华人民共和国的标准及规范。</w:t>
            </w:r>
          </w:p>
          <w:p>
            <w:pPr>
              <w:pStyle w:val="null3"/>
              <w:ind w:firstLine="480"/>
              <w:jc w:val="left"/>
            </w:pPr>
            <w:r>
              <w:rPr>
                <w:rFonts w:ascii="仿宋_GB2312" w:hAnsi="仿宋_GB2312" w:cs="仿宋_GB2312" w:eastAsia="仿宋_GB2312"/>
                <w:sz w:val="24"/>
                <w:color w:val="000000"/>
              </w:rPr>
              <w:t>2、在施工期间，中标供应商必须注意人员安全，加强安全措施，并对施工人员进行安全教育，施工人员必须持证上岗。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供应商需要在线提交所有通过电子化交易平台实施的政府采购项目的响应文件，同时，线下递交纸质响应文件正本壹份、副本壹份及电子文件（U盘）壹份（U盘内容包括Word版本、与系统上传后导出完全一致的PDF版响应文件，其中已标价的工程量清单还须拷贝广联达电子版。所有纸质文件封面须加盖供应商公章鲜章。U盘标明供应商名称，随正本密封）。若线上电子响应文件与纸质响应文件不一致以电子响应文件为准;若正本和副本不一致，以正本为准。 线下递交时间同线上响应文件递交截止时间;线下递交文件地点:西安市临潼区环城东路东环路小区4号楼101室。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关于财务会计制度的证明材料｛供应商需提供《基本资格条件承诺函》。未提供《基本资格条件承诺函》的，须提供2024年或2025年经审计的财务审计报告 (含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供应商资格证明资料 供应商承诺书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拟派项目经理须具备市政公用工程二级及以上注册建造师执业资格，具有安全生产考核合格证，且在本单位注册，无在建工程</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提供法定代表人身份证明或法人授权委托书，后附法人及被委托人身份证（法定代表人直接参加投标的只需提供法定代表人身份证）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供应商基本资格条件承诺</w:t>
            </w:r>
          </w:p>
        </w:tc>
        <w:tc>
          <w:tcPr>
            <w:tcW w:type="dxa" w:w="3322"/>
          </w:tcPr>
          <w:p>
            <w:pPr>
              <w:pStyle w:val="null3"/>
            </w:pPr>
            <w:r>
              <w:rPr>
                <w:rFonts w:ascii="仿宋_GB2312" w:hAnsi="仿宋_GB2312" w:cs="仿宋_GB2312" w:eastAsia="仿宋_GB2312"/>
              </w:rPr>
              <w:t>根据临财函〔2025〕199号《西安市临潼区财政局关于开展政府采购供应商基本资格条件承诺制试点工作的通知》，供应商需以书面形式提供规定格式的《基本资格条件承诺函》(详见资格证明文件中相关格式)，并对承诺内容的真实性负责。采购人可在中标(成交)结果公告后、签订政府采购合同前，核实中标(成交)供应商信用承诺事项的真实性。未提供《基本资格条件承诺函》的，须按照《中华人民共和国政府采购法》及其实施条例相关规定提供以下证明材料：①财务状况报告：提供2024年或2025年经审计的财务审计报告 (含审计报告、资产负债表、利润表、现金流量表及其附注；成立时间至开标时间不足一年的，可提供成立后任意时段的资产负债表），或投标截止时间前六个月内其基本账户银行出具的资信证明，或政府采购信用担保机构出具的担保函；②税收和社保证明：提供投标截止时间前6个月内任意一个月的依法缴纳的税收和社保证明（社会保障资金缴存单据或社保机构开具的社会保险参保缴费情况证明）；依法免税或不需要缴纳社会保障资金的，须提供相关证明材料；③无重大违法记录的书面声明：提供参加政府采购活动前三年内，在经营活动中没有重大违法记录的书面声明；④履行合同能力的承诺书：提供履行合同所必需的设备和专业技术能力的承诺书；⑤信用查询要求：供应商不得为“信用中国”网站（www.creditchina.gov.cn）列入的失信被执行人（中国执行信息公开网http://zxgk.court.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本项目为专门面向中小企业项目，供应商应为中型企业或小型、微型企业或监狱企业或残疾人福利性单位</w:t>
            </w:r>
          </w:p>
        </w:tc>
        <w:tc>
          <w:tcPr>
            <w:tcW w:type="dxa" w:w="1661"/>
          </w:tcPr>
          <w:p>
            <w:pPr>
              <w:pStyle w:val="null3"/>
            </w:pPr>
            <w:r>
              <w:rPr>
                <w:rFonts w:ascii="仿宋_GB2312" w:hAnsi="仿宋_GB2312" w:cs="仿宋_GB2312" w:eastAsia="仿宋_GB2312"/>
              </w:rPr>
              <w:t>供应商资格证明资料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施工组织设计 供应商资格证明资料 中小企业声明函 技术服务合同条款及其他商务要求应答表 强制优先采购产品承诺函 响应文件封面 项目管理机构组成表 残疾人福利性单位声明函 报价函 标的清单 供应商类似项目业绩一览表 供应商承诺书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施工组织设计 报价函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只能有一个有效报价，不得提交选择性报价，且报价不超出本项目投标最高限价金额。</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方案专门针对本项目编制，贴合现场实际，内容全面详尽且涵盖角度全面，合理性和可行性强，能够保障项目顺利实施的，得7-10分; 针对性编制， 符合项目实际情况及实施要求，内容较全面，具备合理可行性的，得3-7分;方案仅基础贴合编制，覆盖维度不全，落地实施存在明显难度的，得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措施内容专门针对本项目编制，内容详实覆盖全维度，合理可行，质量管控保障力度充足的，得4-6分; 贴合项目要求，内容较详尽，具备基础质量保障可行性的，得2-4分; 基本匹配项目，覆盖不完整，质量落地管控难度大的，得0-2分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措施内容专门针对本项目编制，维度全覆盖、细节饱满，安全管控体系完善、落地性强的，得4-6分; 符合项目现场工况，内容较全面，基础安全防护可行的，得2-4分; 基础满足要求，内容单薄片面，安全实施管控有隐患、难度高的，得0-2分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确保文明施工的技术组织措施及环境保护措施（包含治污减霾措施）</w:t>
            </w:r>
          </w:p>
        </w:tc>
        <w:tc>
          <w:tcPr>
            <w:tcW w:type="dxa" w:w="2492"/>
          </w:tcPr>
          <w:p>
            <w:pPr>
              <w:pStyle w:val="null3"/>
            </w:pPr>
            <w:r>
              <w:rPr>
                <w:rFonts w:ascii="仿宋_GB2312" w:hAnsi="仿宋_GB2312" w:cs="仿宋_GB2312" w:eastAsia="仿宋_GB2312"/>
              </w:rPr>
              <w:t>紧扣本项目场地、周边环境定制，内容详实全面，文明施工环保双保障，实操性极强的，得4-6分; 贴合项目基本要求，内容完整，具备常规文明环保管控能力的，得2-4分; 仅粗浅匹配项目，覆盖角度不足，现场落地执行困难的，得0-2分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结合总工期精准定制，节点清晰、纠偏预案齐全，资源联动到位，百分百保障按期完工的，得4-6分; 满足工期基本要求，措施完整，可支撑常规进度推进的，得2-4分; 措施笼统简单，无专项针对性，工期履约风险高、实施难，得0-2分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 4-6分；项目部组成科学合理、人员表配置齐全，有详细的人员配置清单，有一定的针对性，满足项目需求，得2-4分；项目部组成人员缺乏科学合理性，无人员配置清单，无法满足项目需求，得0-2分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投入计划专门针对本项目编制，符合项目实际情况及实施要求，内容详尽且涵盖角度全面，合理性和可行性强，能够保障项目顺利实施的，得4-5分; 投入计划专门针对本项目编制，符合项目实际情况及实施要求，内容详尽且涵盖角度基本全面，有一定的合理性和可行性的，得2-4分; 投入计划专门针对本项目编制，基本符合项目实际情况及实施要求，但涵盖角度不全面且实施有难度的，得0-2分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安排计划科学全面、措施详细具体、针对性强的，得4-5分；安排计划科学全面、措施详细具体、针对性较强的，得2-4分；安排计划内容简单笼统的，得0-2分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施工进度表或网络施工图</w:t>
            </w:r>
          </w:p>
        </w:tc>
        <w:tc>
          <w:tcPr>
            <w:tcW w:type="dxa" w:w="2492"/>
          </w:tcPr>
          <w:p>
            <w:pPr>
              <w:pStyle w:val="null3"/>
            </w:pPr>
            <w:r>
              <w:rPr>
                <w:rFonts w:ascii="仿宋_GB2312" w:hAnsi="仿宋_GB2312" w:cs="仿宋_GB2312" w:eastAsia="仿宋_GB2312"/>
              </w:rPr>
              <w:t>结合本项目工期专属编制，节点严谨，人机料进场同步匹配，可直接指导现场施工的，得4-5分；满足招标文件工期要求，工序逻辑合理、核心节点完整，图表规范具备基础实施性的，得2-4分；套用通用模板未结合本项目，工序混乱、无关键线路，节点缺失，无法管控工期的，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新技术、新产品、 新工艺、新材料应用</w:t>
            </w:r>
          </w:p>
        </w:tc>
        <w:tc>
          <w:tcPr>
            <w:tcW w:type="dxa" w:w="2492"/>
          </w:tcPr>
          <w:p>
            <w:pPr>
              <w:pStyle w:val="null3"/>
            </w:pPr>
            <w:r>
              <w:rPr>
                <w:rFonts w:ascii="仿宋_GB2312" w:hAnsi="仿宋_GB2312" w:cs="仿宋_GB2312" w:eastAsia="仿宋_GB2312"/>
              </w:rPr>
              <w:t>应用的技术、产品、工艺、材料等先进科学、可行性高计4-5分； 应用的技术、产品、工艺、材料等先进科学、可行性较高计2-4分；应用的技术、产品、工艺、材料等科学性描述脱离实际计0-2分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承诺方案专门针对本项目编制，符合项目实际情况及实施要求，内容详尽且涵盖角度全面，合理性和可行性强，保障充分，得4-5分; 承诺方案专门针对本项目编制，符合项目实际情况及实施要求，内容详尽且涵盖角度基本全面，有一定的合理性和可行性的，得2-4分; 承诺方案专门针对本项目编制，基本符合项目实际情况及实施要求，但涵盖角度不全面且实施有难度的，得0-2分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供应商提供2023年1月1日至今类似业绩（以合同协议书或中标通知书为准），每提供一份业绩得2.5分，最高得5分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采用低价优先法计算，即满足磋商文件要求且报价最低的投标报价为评审基准价，其价格分为满分。 投标报价得分＝（评审基准价/投标报价）×30 评标委员会三分之二以上专家认为某投标报价有低于成本价嫌疑的，为无效投标报价。 注：各供应商的在多次报价中应逐次降价，本次报价超过上次报价的，为无效报价，取消其磋商资格。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详见附件：供应商资格证明资料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