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版本号：ZB2026-ZB006（CGA）20260331003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临潼区零口DB-LT-18-03-02地块涉大寨村围蔽管护清表清运项目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ZB2026-ZB006（CGA）</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临潼区零口DB-LT-18-03-02地块涉大寨村围蔽管护清表清运项目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ZB2026-ZB006（CGA）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临潼区零口DB-LT-18-03-02地块涉大寨村围蔽管护清表清运项目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新建围墙、土地清表清运等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采购包1（临潼区零口DB-LT-18-03-02地块涉大寨村围蔽管护清表清运项目）：属于专门面向中小企业采购。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1、营业执照：供应商应是合法注册的法人或其他组织,并出具有效的营业执照；</w:t>
      </w:r>
    </w:p>
    <w:p>
      <w:pPr>
        <w:pStyle w:val="null3"/>
      </w:pPr>
      <w:r>
        <w:rPr>
          <w:rFonts w:ascii="仿宋_GB2312" w:hAnsi="仿宋_GB2312" w:cs="仿宋_GB2312" w:eastAsia="仿宋_GB2312"/>
        </w:rPr>
        <w:t>2、供应商资质要求：供应商须具备建筑工程施工总承包二级及以上资质，具有有效的安全生产许可证；</w:t>
      </w:r>
    </w:p>
    <w:p>
      <w:pPr>
        <w:pStyle w:val="null3"/>
      </w:pPr>
      <w:r>
        <w:rPr>
          <w:rFonts w:ascii="仿宋_GB2312" w:hAnsi="仿宋_GB2312" w:cs="仿宋_GB2312" w:eastAsia="仿宋_GB2312"/>
        </w:rPr>
        <w:t>3、项目经理资质要求：拟派项目经理须具备建筑工程专业二级及以上注册建造师执业资格,具有有效的安全生产考核合格证书，在本单位注册且无在建工程；</w:t>
      </w:r>
    </w:p>
    <w:p>
      <w:pPr>
        <w:pStyle w:val="null3"/>
      </w:pPr>
      <w:r>
        <w:rPr>
          <w:rFonts w:ascii="仿宋_GB2312" w:hAnsi="仿宋_GB2312" w:cs="仿宋_GB2312" w:eastAsia="仿宋_GB2312"/>
        </w:rPr>
        <w:t>4、法定代表人身份证明或法人授权委托书：提供法定代表人身份证明或法人授权委托书，后附法人及被委托人身份证（法定代表人直接参加投标的只需提供法定代表人身份证）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5、供应商基本资格条件承诺：根据临财函〔2025〕199号《西安市临潼区财政局关于开展政府采购供应商基本资格条件承诺制试点工作的通知》，供应商需以书面形式提供规定格式的《基本资格条件承诺函》(详见资格证明文件中相关格式)，并对承诺内容的真实性负责。采购人可在中标(成交)结果公告后、签订政府采购合同前，核实中标(成交)供应商信用承诺事项的真实性。未提供《基本资格条件承诺函》的，须按照《中华人民共和国政府采购法》及其实施条例相关规定提供以下证明材料：①财务状况报告：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须提供相关证明材料；③无重大违法记录的书面声明：提供参加政府采购活动前三年内，在经营活动中没有重大违法记录的书面声明；④履行合同能力的承诺书：提供履行合同所必需的设备和专业技术能力的承诺书；⑤信用查询要求：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6、非联合体投标声明：本项目不接受联合体投标</w:t>
      </w:r>
    </w:p>
    <w:p>
      <w:pPr>
        <w:pStyle w:val="null3"/>
      </w:pPr>
      <w:r>
        <w:rPr>
          <w:rFonts w:ascii="仿宋_GB2312" w:hAnsi="仿宋_GB2312" w:cs="仿宋_GB2312" w:eastAsia="仿宋_GB2312"/>
        </w:rPr>
        <w:t>7、落实政府采购政策需满足的资格要求：本项目为专门面向中小企业项目，供应商应为中型企业或小型、微型企业或监狱企业或残疾人福利性单位。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穆江峰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13474153057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马瑾瑜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采购包1：823,321.70元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领取中标通知书时，代理服务费参照计价格【2002】1980号、发改办价格【2003】857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联系人：马瑾瑜</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823,321.70</w:t>
      </w:r>
    </w:p>
    <w:p>
      <w:pPr>
        <w:pStyle w:val="null3"/>
      </w:pPr>
      <w:r>
        <w:rPr>
          <w:rFonts w:ascii="仿宋_GB2312" w:hAnsi="仿宋_GB2312" w:cs="仿宋_GB2312" w:eastAsia="仿宋_GB2312"/>
        </w:rPr>
        <w:t>采购包最高限价（元）: 823,321.70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临潼区零口DB-LT-18-03-02地块涉大寨村围蔽管护清表清运项目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823,321.70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标的名称：临潼区零口DB-LT-18-03-02地块涉大寨村围蔽管护清表清运项目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left"/>
            </w:pPr>
            <w:r>
              <w:rPr>
                <w:rFonts w:ascii="仿宋_GB2312" w:hAnsi="仿宋_GB2312" w:cs="仿宋_GB2312" w:eastAsia="仿宋_GB2312"/>
                <w:sz w:val="24"/>
                <w:b/>
                <w:color w:val="000000"/>
              </w:rPr>
              <w:t>（一）工程内容：</w:t>
            </w:r>
            <w:r>
              <w:rPr>
                <w:rFonts w:ascii="仿宋_GB2312" w:hAnsi="仿宋_GB2312" w:cs="仿宋_GB2312" w:eastAsia="仿宋_GB2312"/>
                <w:sz w:val="24"/>
                <w:color w:val="000000"/>
              </w:rPr>
              <w:t>新建围墙、土地清表清运等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具体详见工程量清单</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工程地点：</w:t>
            </w:r>
            <w:r>
              <w:rPr>
                <w:rFonts w:ascii="仿宋_GB2312" w:hAnsi="仿宋_GB2312" w:cs="仿宋_GB2312" w:eastAsia="仿宋_GB2312"/>
                <w:sz w:val="24"/>
                <w:color w:val="000000"/>
              </w:rPr>
              <w:t>临潼区零口街办大寨村</w:t>
            </w:r>
          </w:p>
          <w:p>
            <w:pPr>
              <w:pStyle w:val="null3"/>
              <w:ind w:firstLine="482"/>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计划工期</w:t>
            </w: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日历</w:t>
            </w:r>
            <w:r>
              <w:rPr>
                <w:rFonts w:ascii="仿宋_GB2312" w:hAnsi="仿宋_GB2312" w:cs="仿宋_GB2312" w:eastAsia="仿宋_GB2312"/>
                <w:sz w:val="24"/>
                <w:color w:val="000000"/>
              </w:rPr>
              <w:t>天</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质量验收标准或规范：</w:t>
            </w:r>
            <w:r>
              <w:rPr>
                <w:rFonts w:ascii="仿宋_GB2312" w:hAnsi="仿宋_GB2312" w:cs="仿宋_GB2312" w:eastAsia="仿宋_GB2312"/>
                <w:sz w:val="24"/>
                <w:color w:val="000000"/>
              </w:rPr>
              <w:t>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 xml:space="preserve">  （一）施工要求</w:t>
            </w:r>
          </w:p>
          <w:p>
            <w:pPr>
              <w:pStyle w:val="null3"/>
              <w:ind w:firstLine="480"/>
              <w:jc w:val="left"/>
            </w:pPr>
            <w:r>
              <w:rPr>
                <w:rFonts w:ascii="仿宋_GB2312" w:hAnsi="仿宋_GB2312" w:cs="仿宋_GB2312" w:eastAsia="仿宋_GB2312"/>
                <w:sz w:val="24"/>
                <w:color w:val="000000"/>
              </w:rPr>
              <w:t>(1)所有施工和材料所涉及的标准规范须完全符合所有中华人民共和国的标准及规范。</w:t>
            </w:r>
          </w:p>
          <w:p>
            <w:pPr>
              <w:pStyle w:val="null3"/>
              <w:ind w:firstLine="480"/>
              <w:jc w:val="left"/>
            </w:pPr>
            <w:r>
              <w:rPr>
                <w:rFonts w:ascii="仿宋_GB2312" w:hAnsi="仿宋_GB2312" w:cs="仿宋_GB2312" w:eastAsia="仿宋_GB2312"/>
                <w:sz w:val="24"/>
                <w:color w:val="000000"/>
              </w:rPr>
              <w:t>(2)在施工期间，中标供应商必须注意人员安全，加强安全措施，并对施工人员进行安全教育。施工人员必须持证上岗。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供应商需要在线提交所有通过电子化交易平台实施的政府采购项目的响应文件，同时，线下递交纸质响应文件正本壹份、副本壹份及电子文件（U盘）壹份（U盘内容包括Word版本、与系统上传后导出完全一致的PDF版响应文件，其中已标价的工程量清单还须拷贝广联达电子版。所有纸质文件封面须加盖供应商公章鲜章。U盘标明供应商名称，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4、本项目最高投标限价823321.70元（其中：管护清表清运项目最高限价503321.70元；围蔽项目最高限价320000.00元）。投标人各单位工程报价均不得超出对应限额，否则其投标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关于财务会计制度的证明材料｛供应商需提供《基本资格条件承诺函》。未提供《基本资格条件承诺函》的，须提供提供2024年或2025年经审计的财务审计报告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供应商应提交的相关资格证明资料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供应商应是合法注册的法人或其他组织,并出具有效的营业执照；</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拟派项目经理须具备建筑工程专业二级及以上注册建造师执业资格,具有有效的安全生产考核合格证书，在本单位注册且无在建工程；</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提供法定代表人身份证明或法人授权委托书，后附法人及被委托人身份证（法定代表人直接参加投标的只需提供法定代表人身份证）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供应商基本资格条件承诺</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需以书面形式提供规定格式的《基本资格条件承诺函》(详见资格证明文件中相关格式)，并对承诺内容的真实性负责。采购人可在中标(成交)结果公告后、签订政府采购合同前，核实中标(成交)供应商信用承诺事项的真实性。未提供《基本资格条件承诺函》的，须按照《中华人民共和国政府采购法》及其实施条例相关规定提供以下证明材料：①财务状况报告：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须提供相关证明材料；③无重大违法记录的书面声明：提供参加政府采购活动前三年内，在经营活动中没有重大违法记录的书面声明；④履行合同能力的承诺书：提供履行合同所必需的设备和专业技术能力的承诺书；⑤信用查询要求：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供应商应提交的相关资格证明资料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供应商应提交的相关资格证明资料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只能有一个有效报价，不得提交选择性报价，且报价不超出相对应标段最高限价金额。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方案专门针对本项目编制，贴合现场实际，内容全面详尽且涵盖角度全面，合理性和可行性强，能够保障项目顺利实施的，得8-10分; 针对性编制， 符合项目实际情况及实施要求，内容较全面，具备合理可行性的，得3-8分;方案仅基础贴合编制，覆盖维度不全，落地实施存在明显难度的，得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措施内容专门针对本项目编制，内容详实覆盖全维度，合理可行，质量管控保障力度充足的，得4-6分; 贴合项目要求，内容较详尽，具备基础质量保障可行性的，得2-4分; 基本匹配项目，覆盖不完整，质量落地管控难度大的，得0-2分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措施内容专门针对本项目编制，维度全覆盖、细节饱满，安全管控体系完善、落地性强的，得4-6分; 符合项目现场工况，内容较全面，基础安全防护可行的，得2-4分; 基础满足要求，内容单薄片面，安全实施管控有隐患、难度高的，得0-2分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确保文明施工的技术组织措施及环境保护措施（包含治污减霾措施）</w:t>
            </w:r>
          </w:p>
        </w:tc>
        <w:tc>
          <w:tcPr>
            <w:tcW w:type="dxa" w:w="2492"/>
          </w:tcPr>
          <w:p>
            <w:pPr>
              <w:pStyle w:val="null3"/>
            </w:pPr>
            <w:r>
              <w:rPr>
                <w:rFonts w:ascii="仿宋_GB2312" w:hAnsi="仿宋_GB2312" w:cs="仿宋_GB2312" w:eastAsia="仿宋_GB2312"/>
              </w:rPr>
              <w:t>紧扣本项目场地、周边环境定制，内容详实全面，文明施工环保双保障，实操性极强的，得4-6分; 贴合项目基本要求，内容完整，具备常规文明环保管控能力的，得2-4分; 仅粗浅匹配项目，覆盖角度不足，现场落地执行困难的，得0-2分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结合总工期精准定制，节点清晰、纠偏预案齐全，资源联动到位，百分百保障按期完工的，得4-6分; 满足工期基本要求，措施完整，可支撑常规进度推进的，得2-4分; 措施笼统简单，无专项针对性，工期履约风险高、实施难，得0-2分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 4-6分；项目部组成科学合理、人员表配置齐全，有详细的人员配置清单，有一定的针对性，满足项目需求，得2-4分；项目部组成人员缺乏科学合理性，无人员配置清单，无法满足项目需求，得0-2分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投入计划专门针对本项目编制，符合项目实际情况及实施要求，内容详尽且涵盖角度全面，合理性和可行性强，能够保障项目顺利实施的，得4-5分; 投入计划专门针对本项目编制，符合项目实际情况及实施要求，内容详尽且涵盖角度基本全面，有一定的合理性和可行性的，得2-4分; 投入计划专门针对本项目编制，基本符合项目实际情况及实施要求，但涵盖角度不全面且实施有难度的，得0-2分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安排计划科学全面、措施详细具体、针对性强的，得4-5分；安排计划科学全面、措施详细具体、针对性较强的，得2-4分；安排计划内容简单笼统的，得0-2分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施工进度表或网络施工图</w:t>
            </w:r>
          </w:p>
        </w:tc>
        <w:tc>
          <w:tcPr>
            <w:tcW w:type="dxa" w:w="2492"/>
          </w:tcPr>
          <w:p>
            <w:pPr>
              <w:pStyle w:val="null3"/>
            </w:pPr>
            <w:r>
              <w:rPr>
                <w:rFonts w:ascii="仿宋_GB2312" w:hAnsi="仿宋_GB2312" w:cs="仿宋_GB2312" w:eastAsia="仿宋_GB2312"/>
              </w:rPr>
              <w:t>结合本项目工期专属编制，节点严谨，人机料进场同步匹配，可直接指导现场施工的，得4-5分；满足招标文件工期要求，工序逻辑合理、核心节点完整，图表规范具备基础实施性的，得2-4分；套用通用模板未结合本项目，工序混乱、无关键线路，节点缺失，无法管控工期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新技术、新产品、 新工艺、新材料应用</w:t>
            </w:r>
          </w:p>
        </w:tc>
        <w:tc>
          <w:tcPr>
            <w:tcW w:type="dxa" w:w="2492"/>
          </w:tcPr>
          <w:p>
            <w:pPr>
              <w:pStyle w:val="null3"/>
            </w:pPr>
            <w:r>
              <w:rPr>
                <w:rFonts w:ascii="仿宋_GB2312" w:hAnsi="仿宋_GB2312" w:cs="仿宋_GB2312" w:eastAsia="仿宋_GB2312"/>
              </w:rPr>
              <w:t>应用的技术、产品、工艺、材料等先进科学、可行性高计4-5分； 应用的技术、产品、工艺、材料等先进科学、可行性较高计2-4分；应用的技术、产品、工艺、材料等科学性描述脱离实际计0-2分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承诺方案专门针对本项目编制，符合项目实际情况及实施要求，内容详尽且涵盖角度全面，合理性和可行性强，保障充分，得4-5分; 承诺方案专门针对本项目编制，符合项目实际情况及实施要求，内容详尽且涵盖角度基本全面，有一定的合理性和可行性的，得2-4分; 承诺方案专门针对本项目编制，基本符合项目实际情况及实施要求，但涵盖角度不全面且实施有难度的，得0-2分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供应商提供2023年1月1日至今类似业绩（以合同协议书或中标通知书为准），每提供一份业绩得2.5分，最高得5分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采用低价优先法计算，即满足磋商文件要求且报价最低的投标报价为评审基准价，其价格分为满分。 投标报价得分＝（评审基准价/投标报价）×30 评标委员会三分之二以上专家认为某投标报价有低于成本价嫌疑的，为无效投标报价。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