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版本号：QLD【招】2026-100720260328002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2026年中央和省级农业防灾救灾小麦促弱转壮补助项目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QLD【招】2026-1007</w:t>
      </w:r>
      <w:r>
        <w:br/>
      </w:r>
      <w:r>
        <w:br/>
      </w:r>
      <w:r>
        <w:br/>
      </w:r>
    </w:p>
    <w:p>
      <w:pPr>
        <w:pStyle w:val="null3"/>
        <w:jc w:val="center"/>
        <w:outlineLvl w:val="2"/>
      </w:pPr>
      <w:r>
        <w:rPr>
          <w:rFonts w:ascii="仿宋_GB2312" w:hAnsi="仿宋_GB2312" w:cs="仿宋_GB2312" w:eastAsia="仿宋_GB2312"/>
          <w:sz w:val="28"/>
          <w:b/>
        </w:rPr>
        <w:t>西安市临潼区农技推广服务中心</w:t>
      </w:r>
    </w:p>
    <w:p>
      <w:pPr>
        <w:pStyle w:val="null3"/>
        <w:jc w:val="center"/>
        <w:outlineLvl w:val="2"/>
      </w:pPr>
      <w:r>
        <w:rPr>
          <w:rFonts w:ascii="仿宋_GB2312" w:hAnsi="仿宋_GB2312" w:cs="仿宋_GB2312" w:eastAsia="仿宋_GB2312"/>
          <w:sz w:val="28"/>
          <w:b/>
        </w:rPr>
        <w:t>乾力达项目咨询有限公司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乾力达项目咨询有限公司</w:t>
      </w:r>
      <w:r>
        <w:rPr>
          <w:rFonts w:ascii="仿宋_GB2312" w:hAnsi="仿宋_GB2312" w:cs="仿宋_GB2312" w:eastAsia="仿宋_GB2312"/>
        </w:rPr>
        <w:t>（以下简称“代理机构”）受</w:t>
      </w:r>
      <w:r>
        <w:rPr>
          <w:rFonts w:ascii="仿宋_GB2312" w:hAnsi="仿宋_GB2312" w:cs="仿宋_GB2312" w:eastAsia="仿宋_GB2312"/>
        </w:rPr>
        <w:t>西安市临潼区农技推广服务中心</w:t>
      </w:r>
      <w:r>
        <w:rPr>
          <w:rFonts w:ascii="仿宋_GB2312" w:hAnsi="仿宋_GB2312" w:cs="仿宋_GB2312" w:eastAsia="仿宋_GB2312"/>
        </w:rPr>
        <w:t>委托，拟对</w:t>
      </w:r>
      <w:r>
        <w:rPr>
          <w:rFonts w:ascii="仿宋_GB2312" w:hAnsi="仿宋_GB2312" w:cs="仿宋_GB2312" w:eastAsia="仿宋_GB2312"/>
        </w:rPr>
        <w:t>2026年中央和省级农业防灾救灾小麦促弱转壮补助项目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QLD【招】2026-1007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2026年中央和省级农业防灾救灾小麦促弱转壮补助项目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因2025年秋播连阴雨导致临潼区小麦播期普遍推迟，部分地块出苗不齐、生长缓慢，形成大量弱苗。当前小麦已进入春季生长关键期，通过科学实施叶面喷施、配套田间管理等综合措施，实现“弱苗转壮、壮苗稳长、健苗丰产”的目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采购包1（新丰、何寨、任留街道办，小麦促弱转壮面积62000亩）：属于专门面向中小企业采购。</w:t>
      </w:r>
    </w:p>
    <w:p>
      <w:pPr>
        <w:pStyle w:val="null3"/>
      </w:pPr>
      <w:r>
        <w:rPr>
          <w:rFonts w:ascii="仿宋_GB2312" w:hAnsi="仿宋_GB2312" w:cs="仿宋_GB2312" w:eastAsia="仿宋_GB2312"/>
        </w:rPr>
        <w:t>采购包2（相桥、油槐、交口街道办，小麦促弱转壮面积100000亩）：属于专门面向中小企业采购。</w:t>
      </w:r>
    </w:p>
    <w:p>
      <w:pPr>
        <w:pStyle w:val="null3"/>
      </w:pPr>
      <w:r>
        <w:rPr>
          <w:rFonts w:ascii="仿宋_GB2312" w:hAnsi="仿宋_GB2312" w:cs="仿宋_GB2312" w:eastAsia="仿宋_GB2312"/>
        </w:rPr>
        <w:t>采购包3（雨金、栎阳、徐杨、新市街道办，小麦促弱转壮面积100000亩）：属于专门面向中小企业采购。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1、营业执照：供应商应具有独立承担民事责任的能力，具有法人、事业法人、其他组织的营业执照等证明文件。</w:t>
      </w:r>
    </w:p>
    <w:p>
      <w:pPr>
        <w:pStyle w:val="null3"/>
      </w:pPr>
      <w:r>
        <w:rPr>
          <w:rFonts w:ascii="仿宋_GB2312" w:hAnsi="仿宋_GB2312" w:cs="仿宋_GB2312" w:eastAsia="仿宋_GB2312"/>
        </w:rPr>
        <w:t>2、财务状况报告：提供具有财务审计资质单位出具的2024或2025年度的财务审计报告（成立时间不到一年的可提供成立后任意时段的资产负债表）或响应文件递截止时间前六个月内其基本账户银行出具的资信证明（附基本账户证明）或政府采购信用担保机构出具的磋商担保函。</w:t>
      </w:r>
    </w:p>
    <w:p>
      <w:pPr>
        <w:pStyle w:val="null3"/>
      </w:pPr>
      <w:r>
        <w:rPr>
          <w:rFonts w:ascii="仿宋_GB2312" w:hAnsi="仿宋_GB2312" w:cs="仿宋_GB2312" w:eastAsia="仿宋_GB2312"/>
        </w:rPr>
        <w:t>3、税收缴纳证明：供应商提供磋商响应文件递交截止日前6个月内已缴纳的至少一个月的纳税证明或完税证明，依法免税的单位应提供相关证明材料。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供应商提供磋商响应文件递交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5、书面声明：提供参加政府采购活动前三年内在经营活动中没有重大违法记录的书面声明。</w:t>
      </w:r>
    </w:p>
    <w:p>
      <w:pPr>
        <w:pStyle w:val="null3"/>
      </w:pPr>
      <w:r>
        <w:rPr>
          <w:rFonts w:ascii="仿宋_GB2312" w:hAnsi="仿宋_GB2312" w:cs="仿宋_GB2312" w:eastAsia="仿宋_GB2312"/>
        </w:rPr>
        <w:t>6、承诺：提供具有履行本合同所必需的设备和专业技术能力的说明及承诺。</w:t>
      </w:r>
    </w:p>
    <w:p>
      <w:pPr>
        <w:pStyle w:val="null3"/>
      </w:pPr>
      <w:r>
        <w:rPr>
          <w:rFonts w:ascii="仿宋_GB2312" w:hAnsi="仿宋_GB2312" w:cs="仿宋_GB2312" w:eastAsia="仿宋_GB2312"/>
        </w:rPr>
        <w:t>7、法人授权：法定代表人授权委托书（附法定代表人及被授权委托代理人身份证复印件）及被授权委托人身份证（法定代表人参加投标只须提供法定代表人身份证）。</w:t>
      </w:r>
    </w:p>
    <w:p>
      <w:pPr>
        <w:pStyle w:val="null3"/>
      </w:pPr>
      <w:r>
        <w:rPr>
          <w:rFonts w:ascii="仿宋_GB2312" w:hAnsi="仿宋_GB2312" w:cs="仿宋_GB2312" w:eastAsia="仿宋_GB2312"/>
        </w:rPr>
        <w:t>8、企业资质：供应商须具有《通用航空企业经营许可证》或《民用无人驾驶航空器运营合格证》，相关作业人员具有《植保无人机系统操作手合格证》；供应商是生产厂家的，提供的农药产品必须有“农药三证”（分别是《农药登记证》、《农药生产许可证或农药生产批准文件》、《农药标准证》）；供应商如为经销商的，须提供《农药经营许可证》及生产厂家的《农药登记证》、《农药生产许可证或农药生产批准文件》、《农药标准证》。提供的肥料需具有有效期内的肥料登记证或农业农村部登记备案证明。</w:t>
      </w:r>
    </w:p>
    <w:p>
      <w:pPr>
        <w:pStyle w:val="null3"/>
      </w:pPr>
      <w:r>
        <w:rPr>
          <w:rFonts w:ascii="仿宋_GB2312" w:hAnsi="仿宋_GB2312" w:cs="仿宋_GB2312" w:eastAsia="仿宋_GB2312"/>
        </w:rPr>
        <w:t>9、信誉：供应商未被“信用中国”网站(https://www.creditchina.gov.cn/)列入失信被执行人和重大税收违法失信主体，未被中国政府采购网(http://www.ccgp.gov.cn/search/cr/)列入政府采购严重违法失信行为记录名单。</w:t>
      </w:r>
    </w:p>
    <w:p>
      <w:pPr>
        <w:pStyle w:val="null3"/>
      </w:pPr>
      <w:r>
        <w:rPr>
          <w:rFonts w:ascii="仿宋_GB2312" w:hAnsi="仿宋_GB2312" w:cs="仿宋_GB2312" w:eastAsia="仿宋_GB2312"/>
        </w:rPr>
        <w:t>10、供应商控股、管理关系说明：单位负责人为同一人或者存在控股、管理关系的不同单位不得同时磋商。</w:t>
      </w:r>
    </w:p>
    <w:p>
      <w:pPr>
        <w:pStyle w:val="null3"/>
      </w:pPr>
      <w:r>
        <w:rPr>
          <w:rFonts w:ascii="仿宋_GB2312" w:hAnsi="仿宋_GB2312" w:cs="仿宋_GB2312" w:eastAsia="仿宋_GB2312"/>
        </w:rPr>
        <w:t>11、非联合体磋商的声明：本项目不接受联合体磋商。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1、营业执照：供应商应具有独立承担民事责任的能力，具有法人、事业法人、其他组织的营业执照等证明文件。</w:t>
      </w:r>
    </w:p>
    <w:p>
      <w:pPr>
        <w:pStyle w:val="null3"/>
      </w:pPr>
      <w:r>
        <w:rPr>
          <w:rFonts w:ascii="仿宋_GB2312" w:hAnsi="仿宋_GB2312" w:cs="仿宋_GB2312" w:eastAsia="仿宋_GB2312"/>
        </w:rPr>
        <w:t>2、财务状况报告：提供具有财务审计资质单位出具的2024或2025年度的财务审计报告（成立时间不到一年的可提供成立后任意时段的资产负债表）或响应文件递截止时间前六个月内其基本账户银行出具的资信证明（附基本账户证明）或政府采购信用担保机构出具的磋商担保函。</w:t>
      </w:r>
    </w:p>
    <w:p>
      <w:pPr>
        <w:pStyle w:val="null3"/>
      </w:pPr>
      <w:r>
        <w:rPr>
          <w:rFonts w:ascii="仿宋_GB2312" w:hAnsi="仿宋_GB2312" w:cs="仿宋_GB2312" w:eastAsia="仿宋_GB2312"/>
        </w:rPr>
        <w:t>3、税收缴纳证明：供应商提供磋商响应文件递交截止日前6个月内已缴纳的至少一个月的纳税证明或完税证明，依法免税的单位应提供相关证明材料。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供应商提供磋商响应文件递交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5、书面声明：提供参加政府采购活动前三年内在经营活动中没有重大违法记录的书面声明。</w:t>
      </w:r>
    </w:p>
    <w:p>
      <w:pPr>
        <w:pStyle w:val="null3"/>
      </w:pPr>
      <w:r>
        <w:rPr>
          <w:rFonts w:ascii="仿宋_GB2312" w:hAnsi="仿宋_GB2312" w:cs="仿宋_GB2312" w:eastAsia="仿宋_GB2312"/>
        </w:rPr>
        <w:t>6、承诺：提供具有履行本合同所必需的设备和专业技术能力的说明及承诺。</w:t>
      </w:r>
    </w:p>
    <w:p>
      <w:pPr>
        <w:pStyle w:val="null3"/>
      </w:pPr>
      <w:r>
        <w:rPr>
          <w:rFonts w:ascii="仿宋_GB2312" w:hAnsi="仿宋_GB2312" w:cs="仿宋_GB2312" w:eastAsia="仿宋_GB2312"/>
        </w:rPr>
        <w:t>7、法人授权：法定代表人授权委托书（附法定代表人及被授权委托代理人身份证复印件）及被授权委托人身份证（法定代表人参加投标只须提供法定代表人身份证）。</w:t>
      </w:r>
    </w:p>
    <w:p>
      <w:pPr>
        <w:pStyle w:val="null3"/>
      </w:pPr>
      <w:r>
        <w:rPr>
          <w:rFonts w:ascii="仿宋_GB2312" w:hAnsi="仿宋_GB2312" w:cs="仿宋_GB2312" w:eastAsia="仿宋_GB2312"/>
        </w:rPr>
        <w:t>8、企业资质：供应商须具有《通用航空企业经营许可证》或《民用无人驾驶航空器运营合格证》，相关作业人员具有《植保无人机系统操作手合格证》；供应商是生产厂家的，提供的农药产品必须有“农药三证”（分别是《农药登记证》、《农药生产许可证或农药生产批准文件》、《农药标准证》）；供应商如为经销商的，须提供《农药经营许可证》及生产厂家的《农药登记证》、《农药生产许可证或农药生产批准文件》、《农药标准证》。提供的肥料需具有有效期内的肥料登记证或农业农村部登记备案证明。</w:t>
      </w:r>
    </w:p>
    <w:p>
      <w:pPr>
        <w:pStyle w:val="null3"/>
      </w:pPr>
      <w:r>
        <w:rPr>
          <w:rFonts w:ascii="仿宋_GB2312" w:hAnsi="仿宋_GB2312" w:cs="仿宋_GB2312" w:eastAsia="仿宋_GB2312"/>
        </w:rPr>
        <w:t>9、信誉：供应商未被“信用中国”网站(https://www.creditchina.gov.cn/)列入失信被执行人和重大税收违法失信主体，未被中国政府采购网(http://www.ccgp.gov.cn/search/cr/)列入政府采购严重违法失信行为记录名单。</w:t>
      </w:r>
    </w:p>
    <w:p>
      <w:pPr>
        <w:pStyle w:val="null3"/>
      </w:pPr>
      <w:r>
        <w:rPr>
          <w:rFonts w:ascii="仿宋_GB2312" w:hAnsi="仿宋_GB2312" w:cs="仿宋_GB2312" w:eastAsia="仿宋_GB2312"/>
        </w:rPr>
        <w:t>10、供应商控股、管理关系说明：单位负责人为同一人或者存在控股、管理关系的不同单位不得同时磋商。</w:t>
      </w:r>
    </w:p>
    <w:p>
      <w:pPr>
        <w:pStyle w:val="null3"/>
      </w:pPr>
      <w:r>
        <w:rPr>
          <w:rFonts w:ascii="仿宋_GB2312" w:hAnsi="仿宋_GB2312" w:cs="仿宋_GB2312" w:eastAsia="仿宋_GB2312"/>
        </w:rPr>
        <w:t>11、非联合体磋商的声明：本项目不接受联合体磋商。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1、营业执照：供应商应具有独立承担民事责任的能力，具有法人、事业法人、其他组织的营业执照等证明文件。</w:t>
      </w:r>
    </w:p>
    <w:p>
      <w:pPr>
        <w:pStyle w:val="null3"/>
      </w:pPr>
      <w:r>
        <w:rPr>
          <w:rFonts w:ascii="仿宋_GB2312" w:hAnsi="仿宋_GB2312" w:cs="仿宋_GB2312" w:eastAsia="仿宋_GB2312"/>
        </w:rPr>
        <w:t>2、财务状况报告：提供具有财务审计资质单位出具的2024或2025年度的财务审计报告（成立时间不到一年的可提供成立后任意时段的资产负债表）或响应文件递截止时间前六个月内其基本账户银行出具的资信证明（附基本账户证明）或政府采购信用担保机构出具的磋商担保函。</w:t>
      </w:r>
    </w:p>
    <w:p>
      <w:pPr>
        <w:pStyle w:val="null3"/>
      </w:pPr>
      <w:r>
        <w:rPr>
          <w:rFonts w:ascii="仿宋_GB2312" w:hAnsi="仿宋_GB2312" w:cs="仿宋_GB2312" w:eastAsia="仿宋_GB2312"/>
        </w:rPr>
        <w:t>3、税收缴纳证明：供应商提供磋商响应文件递交截止日前6个月内已缴纳的至少一个月的纳税证明或完税证明，依法免税的单位应提供相关证明材料。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供应商提供磋商响应文件递交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5、书面声明：提供参加政府采购活动前三年内在经营活动中没有重大违法记录的书面声明。</w:t>
      </w:r>
    </w:p>
    <w:p>
      <w:pPr>
        <w:pStyle w:val="null3"/>
      </w:pPr>
      <w:r>
        <w:rPr>
          <w:rFonts w:ascii="仿宋_GB2312" w:hAnsi="仿宋_GB2312" w:cs="仿宋_GB2312" w:eastAsia="仿宋_GB2312"/>
        </w:rPr>
        <w:t>6、承诺：提供具有履行本合同所必需的设备和专业技术能力的说明及承诺。</w:t>
      </w:r>
    </w:p>
    <w:p>
      <w:pPr>
        <w:pStyle w:val="null3"/>
      </w:pPr>
      <w:r>
        <w:rPr>
          <w:rFonts w:ascii="仿宋_GB2312" w:hAnsi="仿宋_GB2312" w:cs="仿宋_GB2312" w:eastAsia="仿宋_GB2312"/>
        </w:rPr>
        <w:t>7、法人授权：法定代表人授权委托书（附法定代表人及被授权委托代理人身份证复印件）及被授权委托人身份证（法定代表人参加投标只须提供法定代表人身份证）。</w:t>
      </w:r>
    </w:p>
    <w:p>
      <w:pPr>
        <w:pStyle w:val="null3"/>
      </w:pPr>
      <w:r>
        <w:rPr>
          <w:rFonts w:ascii="仿宋_GB2312" w:hAnsi="仿宋_GB2312" w:cs="仿宋_GB2312" w:eastAsia="仿宋_GB2312"/>
        </w:rPr>
        <w:t>8、企业资质：供应商须具有《通用航空企业经营许可证》或《民用无人驾驶航空器运营合格证》，相关作业人员具有《植保无人机系统操作手合格证》；供应商是生产厂家的，提供的农药产品必须有“农药三证”（分别是《农药登记证》、《农药生产许可证或农药生产批准文件》、《农药标准证》）；供应商如为经销商的，须提供《农药经营许可证》及生产厂家的《农药登记证》、《农药生产许可证或农药生产批准文件》、《农药标准证》。提供的肥料需具有有效期内的肥料登记证或农业农村部登记备案证明。</w:t>
      </w:r>
    </w:p>
    <w:p>
      <w:pPr>
        <w:pStyle w:val="null3"/>
      </w:pPr>
      <w:r>
        <w:rPr>
          <w:rFonts w:ascii="仿宋_GB2312" w:hAnsi="仿宋_GB2312" w:cs="仿宋_GB2312" w:eastAsia="仿宋_GB2312"/>
        </w:rPr>
        <w:t>9、信誉：供应商未被“信用中国”网站(https://www.creditchina.gov.cn/)列入失信被执行人和重大税收违法失信主体，未被中国政府采购网(http://www.ccgp.gov.cn/search/cr/)列入政府采购严重违法失信行为记录名单。</w:t>
      </w:r>
    </w:p>
    <w:p>
      <w:pPr>
        <w:pStyle w:val="null3"/>
      </w:pPr>
      <w:r>
        <w:rPr>
          <w:rFonts w:ascii="仿宋_GB2312" w:hAnsi="仿宋_GB2312" w:cs="仿宋_GB2312" w:eastAsia="仿宋_GB2312"/>
        </w:rPr>
        <w:t>10、供应商控股、管理关系说明：单位负责人为同一人或者存在控股、管理关系的不同单位不得同时磋商。</w:t>
      </w:r>
    </w:p>
    <w:p>
      <w:pPr>
        <w:pStyle w:val="null3"/>
      </w:pPr>
      <w:r>
        <w:rPr>
          <w:rFonts w:ascii="仿宋_GB2312" w:hAnsi="仿宋_GB2312" w:cs="仿宋_GB2312" w:eastAsia="仿宋_GB2312"/>
        </w:rPr>
        <w:t>11、非联合体磋商的声明：本项目不接受联合体磋商。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西安市临潼区农技推广服务中心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临潼区银桥大道90号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孟科长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13991210095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乾力达项目咨询有限公司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陕西省西安市雁塔区太白南路216号嘉天国际A座603.604室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张红梅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029-88698769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p>
          <w:p>
            <w:pPr>
              <w:pStyle w:val="null3"/>
            </w:pPr>
            <w:r>
              <w:rPr>
                <w:rFonts w:ascii="仿宋_GB2312" w:hAnsi="仿宋_GB2312" w:cs="仿宋_GB2312" w:eastAsia="仿宋_GB2312"/>
              </w:rPr>
              <w:t>采购包2：1,161,250.00元</w:t>
            </w:r>
          </w:p>
          <w:p>
            <w:pPr>
              <w:pStyle w:val="null3"/>
            </w:pPr>
            <w:r>
              <w:rPr>
                <w:rFonts w:ascii="仿宋_GB2312" w:hAnsi="仿宋_GB2312" w:cs="仿宋_GB2312" w:eastAsia="仿宋_GB2312"/>
              </w:rPr>
              <w:t>采购包3：1,161,250.00元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 号）、《国家发展和改革委员会办公厅关于招标代理服务收费有关问题的通知》（发改办价格〔2003〕857 号）规定的费率标准计算招标代理服务费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西安市临潼区农技推广服务中心</w:t>
      </w:r>
      <w:r>
        <w:rPr>
          <w:rFonts w:ascii="仿宋_GB2312" w:hAnsi="仿宋_GB2312" w:cs="仿宋_GB2312" w:eastAsia="仿宋_GB2312"/>
        </w:rPr>
        <w:t>和</w:t>
      </w:r>
      <w:r>
        <w:rPr>
          <w:rFonts w:ascii="仿宋_GB2312" w:hAnsi="仿宋_GB2312" w:cs="仿宋_GB2312" w:eastAsia="仿宋_GB2312"/>
        </w:rPr>
        <w:t>乾力达项目咨询有限公司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西安市临潼区农技推广服务中心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乾力达项目咨询有限公司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西安市临潼区农技推广服务中心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乾力达项目咨询有限公司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满足国家、省市相关规范及采购人要求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满足国家、省市相关规范及采购人要求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满足国家、省市相关规范及采购人要求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乾力达项目咨询有限公司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乾力达项目咨询有限公司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乾力达项目咨询有限公司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联系电话：029-88698769</w:t>
      </w:r>
    </w:p>
    <w:p>
      <w:pPr>
        <w:pStyle w:val="null3"/>
      </w:pPr>
      <w:r>
        <w:rPr>
          <w:rFonts w:ascii="仿宋_GB2312" w:hAnsi="仿宋_GB2312" w:cs="仿宋_GB2312" w:eastAsia="仿宋_GB2312"/>
        </w:rPr>
        <w:t>地址：陕西省西安市雁塔区太白南路216号嘉天国际A座603、604室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因2025年秋播连阴雨导致临潼区小麦播期普遍推迟，部分地块出苗不齐、生长缓慢，形成大量弱苗。当前小麦已进入春季生长关键期，通过科学实施叶面喷施、配套田间管理等综合措施，实现“弱苗转壮、壮苗稳长、健苗丰产”的目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62000亩小麦促弱转壮物资飞防作业</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1,161,250.00</w:t>
      </w:r>
    </w:p>
    <w:p>
      <w:pPr>
        <w:pStyle w:val="null3"/>
      </w:pPr>
      <w:r>
        <w:rPr>
          <w:rFonts w:ascii="仿宋_GB2312" w:hAnsi="仿宋_GB2312" w:cs="仿宋_GB2312" w:eastAsia="仿宋_GB2312"/>
        </w:rPr>
        <w:t>采购包最高限价（元）: 1,161,250.00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100000亩小麦促弱转壮物资飞防作业</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1,161,250.00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1,161,250.00</w:t>
      </w:r>
    </w:p>
    <w:p>
      <w:pPr>
        <w:pStyle w:val="null3"/>
      </w:pPr>
      <w:r>
        <w:rPr>
          <w:rFonts w:ascii="仿宋_GB2312" w:hAnsi="仿宋_GB2312" w:cs="仿宋_GB2312" w:eastAsia="仿宋_GB2312"/>
        </w:rPr>
        <w:t>采购包最高限价（元）: 1,161,250.00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100000亩小麦促弱转壮物资飞防作业</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1,161,250.00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标的名称：62000亩小麦促弱转壮物资飞防作业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color w:val="000000"/>
              </w:rPr>
              <w:t>1、采购内容：62000亩小麦促弱转壮物资、飞防作业。</w:t>
            </w:r>
          </w:p>
          <w:p>
            <w:pPr>
              <w:pStyle w:val="null3"/>
              <w:jc w:val="left"/>
            </w:pPr>
            <w:r>
              <w:rPr>
                <w:rFonts w:ascii="仿宋_GB2312" w:hAnsi="仿宋_GB2312" w:cs="仿宋_GB2312" w:eastAsia="仿宋_GB2312"/>
                <w:sz w:val="24"/>
                <w:color w:val="000000"/>
              </w:rPr>
              <w:t>2、作业方式：采用植保无人机喷防。</w:t>
            </w:r>
          </w:p>
          <w:p>
            <w:pPr>
              <w:pStyle w:val="null3"/>
              <w:jc w:val="left"/>
            </w:pPr>
            <w:r>
              <w:rPr>
                <w:rFonts w:ascii="仿宋_GB2312" w:hAnsi="仿宋_GB2312" w:cs="仿宋_GB2312" w:eastAsia="仿宋_GB2312"/>
                <w:sz w:val="24"/>
                <w:color w:val="000000"/>
              </w:rPr>
              <w:t>3、技术要求：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1）叶面喷施核心方案（3选1）</w:t>
            </w:r>
          </w:p>
          <w:p>
            <w:pPr>
              <w:pStyle w:val="null3"/>
              <w:jc w:val="left"/>
            </w:pPr>
            <w:r>
              <w:rPr>
                <w:rFonts w:ascii="仿宋_GB2312" w:hAnsi="仿宋_GB2312" w:cs="仿宋_GB2312" w:eastAsia="仿宋_GB2312"/>
                <w:sz w:val="24"/>
                <w:color w:val="000000"/>
              </w:rPr>
              <w:t>根据本地苗情、土壤条件灵活选用，确保喷施效果。所有方案均需添加飞防助剂，亩用水量</w:t>
            </w:r>
            <w:r>
              <w:rPr>
                <w:rFonts w:ascii="仿宋_GB2312" w:hAnsi="仿宋_GB2312" w:cs="仿宋_GB2312" w:eastAsia="仿宋_GB2312"/>
                <w:sz w:val="24"/>
                <w:color w:val="000000"/>
              </w:rPr>
              <w:t>≥3L，保证叶片正反面喷匀喷透。飞防专用助剂必须符合国家植保无人机飞防作业相关规定。</w:t>
            </w:r>
          </w:p>
          <w:p>
            <w:pPr>
              <w:pStyle w:val="null3"/>
              <w:jc w:val="left"/>
            </w:pPr>
            <w:r>
              <w:rPr>
                <w:rFonts w:ascii="仿宋_GB2312" w:hAnsi="仿宋_GB2312" w:cs="仿宋_GB2312" w:eastAsia="仿宋_GB2312"/>
                <w:sz w:val="24"/>
                <w:color w:val="000000"/>
              </w:rPr>
              <w:t>方案</w:t>
            </w:r>
            <w:r>
              <w:rPr>
                <w:rFonts w:ascii="仿宋_GB2312" w:hAnsi="仿宋_GB2312" w:cs="仿宋_GB2312" w:eastAsia="仿宋_GB2312"/>
                <w:sz w:val="24"/>
                <w:color w:val="000000"/>
              </w:rPr>
              <w:t>1：含腐植酸大量元素水溶肥（大量元素含量≥20%）50ml/亩+0.01%芸苔素内酯10ml/亩+飞防助剂10ml</w:t>
            </w:r>
          </w:p>
          <w:p>
            <w:pPr>
              <w:pStyle w:val="null3"/>
              <w:jc w:val="left"/>
            </w:pPr>
            <w:r>
              <w:rPr>
                <w:rFonts w:ascii="仿宋_GB2312" w:hAnsi="仿宋_GB2312" w:cs="仿宋_GB2312" w:eastAsia="仿宋_GB2312"/>
                <w:sz w:val="24"/>
                <w:color w:val="000000"/>
              </w:rPr>
              <w:t>方案</w:t>
            </w:r>
            <w:r>
              <w:rPr>
                <w:rFonts w:ascii="仿宋_GB2312" w:hAnsi="仿宋_GB2312" w:cs="仿宋_GB2312" w:eastAsia="仿宋_GB2312"/>
                <w:sz w:val="24"/>
                <w:color w:val="000000"/>
              </w:rPr>
              <w:t>2：99%磷酸二氢钾100克/亩+0.01%芸苔素内酯10ml/亩+飞防助剂10ml</w:t>
            </w:r>
          </w:p>
          <w:p>
            <w:pPr>
              <w:pStyle w:val="null3"/>
              <w:jc w:val="left"/>
            </w:pPr>
            <w:r>
              <w:rPr>
                <w:rFonts w:ascii="仿宋_GB2312" w:hAnsi="仿宋_GB2312" w:cs="仿宋_GB2312" w:eastAsia="仿宋_GB2312"/>
                <w:sz w:val="24"/>
                <w:color w:val="000000"/>
              </w:rPr>
              <w:t>方案</w:t>
            </w:r>
            <w:r>
              <w:rPr>
                <w:rFonts w:ascii="仿宋_GB2312" w:hAnsi="仿宋_GB2312" w:cs="仿宋_GB2312" w:eastAsia="仿宋_GB2312"/>
                <w:sz w:val="24"/>
                <w:color w:val="000000"/>
              </w:rPr>
              <w:t>3：大量元素水溶肥（N：P2O5：k2O=20：20：20)100g/亩+0.01%芸苔素内酯10ml/亩+飞防助剂10ml</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2）叶面喷施技术要求</w:t>
            </w:r>
          </w:p>
          <w:p>
            <w:pPr>
              <w:pStyle w:val="null3"/>
              <w:jc w:val="left"/>
            </w:pPr>
            <w:r>
              <w:rPr>
                <w:rFonts w:ascii="仿宋_GB2312" w:hAnsi="仿宋_GB2312" w:cs="仿宋_GB2312" w:eastAsia="仿宋_GB2312"/>
                <w:sz w:val="24"/>
                <w:color w:val="000000"/>
              </w:rPr>
              <w:t>1）喷施时机：选择小麦返青至拔节期、孕穗期两个关键时段，优先在晴天无风时段（10:00—16:00）进行，避开高温、低温和阴雨天气，提升药液吸收效率。</w:t>
            </w:r>
          </w:p>
          <w:p>
            <w:pPr>
              <w:pStyle w:val="null3"/>
              <w:jc w:val="left"/>
            </w:pPr>
            <w:r>
              <w:rPr>
                <w:rFonts w:ascii="仿宋_GB2312" w:hAnsi="仿宋_GB2312" w:cs="仿宋_GB2312" w:eastAsia="仿宋_GB2312"/>
                <w:sz w:val="24"/>
                <w:color w:val="000000"/>
              </w:rPr>
              <w:t>2）喷施规范：严格按照各方案规定的用量配比，精准称量药剂和助剂，避免随意降低或加大浓度，防止出现药害；喷施时确保叶片正反面喷匀喷透，不重喷、不漏喷。</w:t>
            </w:r>
          </w:p>
          <w:p>
            <w:pPr>
              <w:pStyle w:val="null3"/>
              <w:jc w:val="left"/>
            </w:pPr>
            <w:r>
              <w:rPr>
                <w:rFonts w:ascii="仿宋_GB2312" w:hAnsi="仿宋_GB2312" w:cs="仿宋_GB2312" w:eastAsia="仿宋_GB2312"/>
                <w:sz w:val="24"/>
                <w:color w:val="000000"/>
              </w:rPr>
              <w:t>3）补喷要求：喷施后6小时内遇雨，需及时补喷，补喷时可适当减少药剂用量，避免重复喷施造成浪费和药害。</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3）配套田间管理措施</w:t>
            </w:r>
          </w:p>
          <w:p>
            <w:pPr>
              <w:pStyle w:val="null3"/>
              <w:jc w:val="left"/>
            </w:pPr>
            <w:r>
              <w:rPr>
                <w:rFonts w:ascii="仿宋_GB2312" w:hAnsi="仿宋_GB2312" w:cs="仿宋_GB2312" w:eastAsia="仿宋_GB2312"/>
                <w:sz w:val="24"/>
                <w:color w:val="000000"/>
              </w:rPr>
              <w:t>1）划锄松土：喷施后结合田间墒情，适时进行划锄，破除土壤板结，提升地温，促进根系下扎，助力麦苗吸收养分，缓解弱苗长势。</w:t>
            </w:r>
          </w:p>
          <w:p>
            <w:pPr>
              <w:pStyle w:val="null3"/>
              <w:jc w:val="left"/>
            </w:pPr>
            <w:r>
              <w:rPr>
                <w:rFonts w:ascii="仿宋_GB2312" w:hAnsi="仿宋_GB2312" w:cs="仿宋_GB2312" w:eastAsia="仿宋_GB2312"/>
                <w:sz w:val="24"/>
                <w:color w:val="000000"/>
              </w:rPr>
              <w:t>2）水分管理：春旱时段及时补水，优先采用滴灌、喷灌等节水灌溉方式，避免大水漫灌；低洼地块及时排水防渍，防止根系腐烂，影响麦苗生长。</w:t>
            </w:r>
          </w:p>
          <w:p>
            <w:pPr>
              <w:pStyle w:val="null3"/>
              <w:jc w:val="left"/>
            </w:pPr>
            <w:r>
              <w:rPr>
                <w:rFonts w:ascii="仿宋_GB2312" w:hAnsi="仿宋_GB2312" w:cs="仿宋_GB2312" w:eastAsia="仿宋_GB2312"/>
                <w:sz w:val="24"/>
                <w:color w:val="000000"/>
              </w:rPr>
              <w:t>3）病虫防控：密切监测小麦条锈病、茎基腐病、麦蚜、红蜘蛛等病虫害，选准对路农药，结合叶面喷施同步防控，避免病虫害蔓延加重弱苗长势。作业使用的农药必须符合国家标准，三证齐全(三证:农药登记证、农药生产许可证(或农药生产批准文件)、农药标准证)，高效低毒、安全环保，在有效期内。</w:t>
            </w:r>
          </w:p>
          <w:p>
            <w:pPr>
              <w:pStyle w:val="null3"/>
              <w:jc w:val="left"/>
            </w:pPr>
            <w:r>
              <w:rPr>
                <w:rFonts w:ascii="仿宋_GB2312" w:hAnsi="仿宋_GB2312" w:cs="仿宋_GB2312" w:eastAsia="仿宋_GB2312"/>
                <w:sz w:val="24"/>
                <w:color w:val="000000"/>
              </w:rPr>
              <w:t>4、人员要求：按照项目实际情况进行配置。</w:t>
            </w:r>
          </w:p>
          <w:p>
            <w:pPr>
              <w:pStyle w:val="null3"/>
            </w:pPr>
            <w:r>
              <w:rPr>
                <w:rFonts w:ascii="仿宋_GB2312" w:hAnsi="仿宋_GB2312" w:cs="仿宋_GB2312" w:eastAsia="仿宋_GB2312"/>
                <w:sz w:val="24"/>
              </w:rPr>
              <w:t>5、防治效果：通过该项目的实施，有效提高我区粮食气象灾害综合防控能力，减少受灾地区农业损失，确保我区粮食稳产增收，综合防治效果达到85%以上。</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标的名称：100000亩小麦促弱转壮物资飞防作业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color w:val="000000"/>
              </w:rPr>
              <w:t>1、采购内容：100000亩小麦促弱转壮物资、飞防作业。</w:t>
            </w:r>
          </w:p>
          <w:p>
            <w:pPr>
              <w:pStyle w:val="null3"/>
              <w:jc w:val="left"/>
            </w:pPr>
            <w:r>
              <w:rPr>
                <w:rFonts w:ascii="仿宋_GB2312" w:hAnsi="仿宋_GB2312" w:cs="仿宋_GB2312" w:eastAsia="仿宋_GB2312"/>
                <w:sz w:val="24"/>
                <w:color w:val="000000"/>
              </w:rPr>
              <w:t>2、作业方式：采用植保无人机喷防。</w:t>
            </w:r>
          </w:p>
          <w:p>
            <w:pPr>
              <w:pStyle w:val="null3"/>
              <w:jc w:val="left"/>
            </w:pPr>
            <w:r>
              <w:rPr>
                <w:rFonts w:ascii="仿宋_GB2312" w:hAnsi="仿宋_GB2312" w:cs="仿宋_GB2312" w:eastAsia="仿宋_GB2312"/>
                <w:sz w:val="24"/>
                <w:color w:val="000000"/>
              </w:rPr>
              <w:t>3、技术要求：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1）叶面喷施核心方案（3选1）</w:t>
            </w:r>
          </w:p>
          <w:p>
            <w:pPr>
              <w:pStyle w:val="null3"/>
              <w:jc w:val="left"/>
            </w:pPr>
            <w:r>
              <w:rPr>
                <w:rFonts w:ascii="仿宋_GB2312" w:hAnsi="仿宋_GB2312" w:cs="仿宋_GB2312" w:eastAsia="仿宋_GB2312"/>
                <w:sz w:val="24"/>
                <w:color w:val="000000"/>
              </w:rPr>
              <w:t>根据本地苗情、土壤条件灵活选用，确保喷施效果。所有方案均需添加飞防助剂，亩用水量</w:t>
            </w:r>
            <w:r>
              <w:rPr>
                <w:rFonts w:ascii="仿宋_GB2312" w:hAnsi="仿宋_GB2312" w:cs="仿宋_GB2312" w:eastAsia="仿宋_GB2312"/>
                <w:sz w:val="24"/>
                <w:color w:val="000000"/>
              </w:rPr>
              <w:t>≥3L，保证叶片正反面喷匀喷透。飞防专用助剂必须符合国家植保无人机飞防作业相关规定。</w:t>
            </w:r>
          </w:p>
          <w:p>
            <w:pPr>
              <w:pStyle w:val="null3"/>
              <w:jc w:val="left"/>
            </w:pPr>
            <w:r>
              <w:rPr>
                <w:rFonts w:ascii="仿宋_GB2312" w:hAnsi="仿宋_GB2312" w:cs="仿宋_GB2312" w:eastAsia="仿宋_GB2312"/>
                <w:sz w:val="24"/>
                <w:color w:val="000000"/>
              </w:rPr>
              <w:t>方案</w:t>
            </w:r>
            <w:r>
              <w:rPr>
                <w:rFonts w:ascii="仿宋_GB2312" w:hAnsi="仿宋_GB2312" w:cs="仿宋_GB2312" w:eastAsia="仿宋_GB2312"/>
                <w:sz w:val="24"/>
                <w:color w:val="000000"/>
              </w:rPr>
              <w:t>1：含腐植酸大量元素水溶肥（大量元素含量≥20%）50ml/亩+0.01%芸苔素内酯10ml/亩+飞防助剂10ml</w:t>
            </w:r>
          </w:p>
          <w:p>
            <w:pPr>
              <w:pStyle w:val="null3"/>
              <w:jc w:val="left"/>
            </w:pPr>
            <w:r>
              <w:rPr>
                <w:rFonts w:ascii="仿宋_GB2312" w:hAnsi="仿宋_GB2312" w:cs="仿宋_GB2312" w:eastAsia="仿宋_GB2312"/>
                <w:sz w:val="24"/>
                <w:color w:val="000000"/>
              </w:rPr>
              <w:t>方案</w:t>
            </w:r>
            <w:r>
              <w:rPr>
                <w:rFonts w:ascii="仿宋_GB2312" w:hAnsi="仿宋_GB2312" w:cs="仿宋_GB2312" w:eastAsia="仿宋_GB2312"/>
                <w:sz w:val="24"/>
                <w:color w:val="000000"/>
              </w:rPr>
              <w:t>2：99%磷酸二氢钾100克/亩+0.01%芸苔素内酯10ml/亩+飞防助剂10ml</w:t>
            </w:r>
          </w:p>
          <w:p>
            <w:pPr>
              <w:pStyle w:val="null3"/>
              <w:jc w:val="left"/>
            </w:pPr>
            <w:r>
              <w:rPr>
                <w:rFonts w:ascii="仿宋_GB2312" w:hAnsi="仿宋_GB2312" w:cs="仿宋_GB2312" w:eastAsia="仿宋_GB2312"/>
                <w:sz w:val="24"/>
                <w:color w:val="000000"/>
              </w:rPr>
              <w:t>方案</w:t>
            </w:r>
            <w:r>
              <w:rPr>
                <w:rFonts w:ascii="仿宋_GB2312" w:hAnsi="仿宋_GB2312" w:cs="仿宋_GB2312" w:eastAsia="仿宋_GB2312"/>
                <w:sz w:val="24"/>
                <w:color w:val="000000"/>
              </w:rPr>
              <w:t>3：大量元素水溶肥（N：P2O5：k2O=20：20：20)100g/亩+0.01%芸苔素内酯10ml/亩+飞防助剂10ml</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2）叶面喷施技术要求</w:t>
            </w:r>
          </w:p>
          <w:p>
            <w:pPr>
              <w:pStyle w:val="null3"/>
              <w:jc w:val="left"/>
            </w:pPr>
            <w:r>
              <w:rPr>
                <w:rFonts w:ascii="仿宋_GB2312" w:hAnsi="仿宋_GB2312" w:cs="仿宋_GB2312" w:eastAsia="仿宋_GB2312"/>
                <w:sz w:val="24"/>
                <w:color w:val="000000"/>
              </w:rPr>
              <w:t>1）喷施时机：选择小麦返青至拔节期、孕穗期两个关键时段，优先在晴天无风时段（10:00—16:00）进行，避开高温、低温和阴雨天气，提升药液吸收效率。</w:t>
            </w:r>
          </w:p>
          <w:p>
            <w:pPr>
              <w:pStyle w:val="null3"/>
              <w:jc w:val="left"/>
            </w:pPr>
            <w:r>
              <w:rPr>
                <w:rFonts w:ascii="仿宋_GB2312" w:hAnsi="仿宋_GB2312" w:cs="仿宋_GB2312" w:eastAsia="仿宋_GB2312"/>
                <w:sz w:val="24"/>
                <w:color w:val="000000"/>
              </w:rPr>
              <w:t>2）喷施规范：严格按照各方案规定的用量配比，精准称量药剂和助剂，避免随意降低或加大浓度，防止出现药害；喷施时确保叶片正反面喷匀喷透，不重喷、不漏喷。</w:t>
            </w:r>
          </w:p>
          <w:p>
            <w:pPr>
              <w:pStyle w:val="null3"/>
              <w:jc w:val="left"/>
            </w:pPr>
            <w:r>
              <w:rPr>
                <w:rFonts w:ascii="仿宋_GB2312" w:hAnsi="仿宋_GB2312" w:cs="仿宋_GB2312" w:eastAsia="仿宋_GB2312"/>
                <w:sz w:val="24"/>
                <w:color w:val="000000"/>
              </w:rPr>
              <w:t>3）补喷要求：喷施后6小时内遇雨，需及时补喷，补喷时可适当减少药剂用量，避免重复喷施造成浪费和药害。</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3）配套田间管理措施</w:t>
            </w:r>
          </w:p>
          <w:p>
            <w:pPr>
              <w:pStyle w:val="null3"/>
              <w:jc w:val="left"/>
            </w:pPr>
            <w:r>
              <w:rPr>
                <w:rFonts w:ascii="仿宋_GB2312" w:hAnsi="仿宋_GB2312" w:cs="仿宋_GB2312" w:eastAsia="仿宋_GB2312"/>
                <w:sz w:val="24"/>
                <w:color w:val="000000"/>
              </w:rPr>
              <w:t>1）划锄松土：喷施后结合田间墒情，适时进行划锄，破除土壤板结，提升地温，促进根系下扎，助力麦苗吸收养分，缓解弱苗长势。</w:t>
            </w:r>
          </w:p>
          <w:p>
            <w:pPr>
              <w:pStyle w:val="null3"/>
              <w:jc w:val="left"/>
            </w:pPr>
            <w:r>
              <w:rPr>
                <w:rFonts w:ascii="仿宋_GB2312" w:hAnsi="仿宋_GB2312" w:cs="仿宋_GB2312" w:eastAsia="仿宋_GB2312"/>
                <w:sz w:val="24"/>
                <w:color w:val="000000"/>
              </w:rPr>
              <w:t>2）水分管理：春旱时段及时补水，优先采用滴灌、喷灌等节水灌溉方式，避免大水漫灌；低洼地块及时排水防渍，防止根系腐烂，影响麦苗生长。</w:t>
            </w:r>
          </w:p>
          <w:p>
            <w:pPr>
              <w:pStyle w:val="null3"/>
              <w:jc w:val="left"/>
            </w:pPr>
            <w:r>
              <w:rPr>
                <w:rFonts w:ascii="仿宋_GB2312" w:hAnsi="仿宋_GB2312" w:cs="仿宋_GB2312" w:eastAsia="仿宋_GB2312"/>
                <w:sz w:val="24"/>
                <w:color w:val="000000"/>
              </w:rPr>
              <w:t>3）病虫防控：密切监测小麦条锈病、茎基腐病、麦蚜、红蜘蛛等病虫害，选准对路农药，结合叶面喷施同步防控，避免病虫害蔓延加重弱苗长势。作业使用的农药必须符合国家标准，三证齐全(三证:农药登记证、农药生产许可证(或农药生产批准文件)、农药标准证)，高效低毒、安全环保，在有效期内。</w:t>
            </w:r>
          </w:p>
          <w:p>
            <w:pPr>
              <w:pStyle w:val="null3"/>
              <w:jc w:val="left"/>
            </w:pPr>
            <w:r>
              <w:rPr>
                <w:rFonts w:ascii="仿宋_GB2312" w:hAnsi="仿宋_GB2312" w:cs="仿宋_GB2312" w:eastAsia="仿宋_GB2312"/>
                <w:sz w:val="24"/>
                <w:color w:val="000000"/>
              </w:rPr>
              <w:t>4、人员要求：按照项目实际情况进行配置。</w:t>
            </w:r>
          </w:p>
          <w:p>
            <w:pPr>
              <w:pStyle w:val="null3"/>
            </w:pPr>
            <w:r>
              <w:rPr>
                <w:rFonts w:ascii="仿宋_GB2312" w:hAnsi="仿宋_GB2312" w:cs="仿宋_GB2312" w:eastAsia="仿宋_GB2312"/>
                <w:sz w:val="24"/>
              </w:rPr>
              <w:t>5、防治效果：通过该项目的实施，有效提高我区粮食气象灾害综合防控能力，减少受灾地区农业损失，确保我区粮食稳产增收，综合防治效果达到85%以上。</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标的名称：100000亩小麦促弱转壮物资飞防作业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color w:val="000000"/>
              </w:rPr>
              <w:t>1、采购内容：100000亩小麦促弱转壮物资、飞防作业。</w:t>
            </w:r>
          </w:p>
          <w:p>
            <w:pPr>
              <w:pStyle w:val="null3"/>
              <w:jc w:val="left"/>
            </w:pPr>
            <w:r>
              <w:rPr>
                <w:rFonts w:ascii="仿宋_GB2312" w:hAnsi="仿宋_GB2312" w:cs="仿宋_GB2312" w:eastAsia="仿宋_GB2312"/>
                <w:sz w:val="24"/>
                <w:color w:val="000000"/>
              </w:rPr>
              <w:t>2、作业方式：采用植保无人机喷防。</w:t>
            </w:r>
          </w:p>
          <w:p>
            <w:pPr>
              <w:pStyle w:val="null3"/>
              <w:jc w:val="left"/>
            </w:pPr>
            <w:r>
              <w:rPr>
                <w:rFonts w:ascii="仿宋_GB2312" w:hAnsi="仿宋_GB2312" w:cs="仿宋_GB2312" w:eastAsia="仿宋_GB2312"/>
                <w:sz w:val="24"/>
                <w:color w:val="000000"/>
              </w:rPr>
              <w:t>3、技术要求：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1）叶面喷施核心方案（3选1）</w:t>
            </w:r>
          </w:p>
          <w:p>
            <w:pPr>
              <w:pStyle w:val="null3"/>
              <w:jc w:val="left"/>
            </w:pPr>
            <w:r>
              <w:rPr>
                <w:rFonts w:ascii="仿宋_GB2312" w:hAnsi="仿宋_GB2312" w:cs="仿宋_GB2312" w:eastAsia="仿宋_GB2312"/>
                <w:sz w:val="24"/>
                <w:color w:val="000000"/>
              </w:rPr>
              <w:t>根据本地苗情、土壤条件灵活选用，确保喷施效果。所有方案均需添加飞防助剂，亩用水量</w:t>
            </w:r>
            <w:r>
              <w:rPr>
                <w:rFonts w:ascii="仿宋_GB2312" w:hAnsi="仿宋_GB2312" w:cs="仿宋_GB2312" w:eastAsia="仿宋_GB2312"/>
                <w:sz w:val="24"/>
                <w:color w:val="000000"/>
              </w:rPr>
              <w:t>≥3L，保证叶片正反面喷匀喷透。飞防专用助剂必须符合国家植保无人机飞防作业相关规定。</w:t>
            </w:r>
          </w:p>
          <w:p>
            <w:pPr>
              <w:pStyle w:val="null3"/>
              <w:jc w:val="left"/>
            </w:pPr>
            <w:r>
              <w:rPr>
                <w:rFonts w:ascii="仿宋_GB2312" w:hAnsi="仿宋_GB2312" w:cs="仿宋_GB2312" w:eastAsia="仿宋_GB2312"/>
                <w:sz w:val="24"/>
                <w:color w:val="000000"/>
              </w:rPr>
              <w:t>方案</w:t>
            </w:r>
            <w:r>
              <w:rPr>
                <w:rFonts w:ascii="仿宋_GB2312" w:hAnsi="仿宋_GB2312" w:cs="仿宋_GB2312" w:eastAsia="仿宋_GB2312"/>
                <w:sz w:val="24"/>
                <w:color w:val="000000"/>
              </w:rPr>
              <w:t>1：含腐植酸大量元素水溶肥（大量元素含量≥20%）50ml/亩+0.01%芸苔素内酯10ml/亩+飞防助剂10ml</w:t>
            </w:r>
          </w:p>
          <w:p>
            <w:pPr>
              <w:pStyle w:val="null3"/>
              <w:jc w:val="left"/>
            </w:pPr>
            <w:r>
              <w:rPr>
                <w:rFonts w:ascii="仿宋_GB2312" w:hAnsi="仿宋_GB2312" w:cs="仿宋_GB2312" w:eastAsia="仿宋_GB2312"/>
                <w:sz w:val="24"/>
                <w:color w:val="000000"/>
              </w:rPr>
              <w:t>方案</w:t>
            </w:r>
            <w:r>
              <w:rPr>
                <w:rFonts w:ascii="仿宋_GB2312" w:hAnsi="仿宋_GB2312" w:cs="仿宋_GB2312" w:eastAsia="仿宋_GB2312"/>
                <w:sz w:val="24"/>
                <w:color w:val="000000"/>
              </w:rPr>
              <w:t>2：99%磷酸二氢钾100克/亩+0.01%芸苔素内酯10ml/亩+飞防助剂10ml</w:t>
            </w:r>
          </w:p>
          <w:p>
            <w:pPr>
              <w:pStyle w:val="null3"/>
              <w:jc w:val="left"/>
            </w:pPr>
            <w:r>
              <w:rPr>
                <w:rFonts w:ascii="仿宋_GB2312" w:hAnsi="仿宋_GB2312" w:cs="仿宋_GB2312" w:eastAsia="仿宋_GB2312"/>
                <w:sz w:val="24"/>
                <w:color w:val="000000"/>
              </w:rPr>
              <w:t>方案</w:t>
            </w:r>
            <w:r>
              <w:rPr>
                <w:rFonts w:ascii="仿宋_GB2312" w:hAnsi="仿宋_GB2312" w:cs="仿宋_GB2312" w:eastAsia="仿宋_GB2312"/>
                <w:sz w:val="24"/>
                <w:color w:val="000000"/>
              </w:rPr>
              <w:t>3：大量元素水溶肥（N：P2O5：k2O=20：20：20)100g/亩+0.01%芸苔素内酯10ml/亩+飞防助剂10ml</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2）叶面喷施技术要求</w:t>
            </w:r>
          </w:p>
          <w:p>
            <w:pPr>
              <w:pStyle w:val="null3"/>
              <w:jc w:val="left"/>
            </w:pPr>
            <w:r>
              <w:rPr>
                <w:rFonts w:ascii="仿宋_GB2312" w:hAnsi="仿宋_GB2312" w:cs="仿宋_GB2312" w:eastAsia="仿宋_GB2312"/>
                <w:sz w:val="24"/>
                <w:color w:val="000000"/>
              </w:rPr>
              <w:t>1）喷施时机：选择小麦返青至拔节期、孕穗期两个关键时段，优先在晴天无风时段（10:00—16:00）进行，避开高温、低温和阴雨天气，提升药液吸收效率。</w:t>
            </w:r>
          </w:p>
          <w:p>
            <w:pPr>
              <w:pStyle w:val="null3"/>
              <w:jc w:val="left"/>
            </w:pPr>
            <w:r>
              <w:rPr>
                <w:rFonts w:ascii="仿宋_GB2312" w:hAnsi="仿宋_GB2312" w:cs="仿宋_GB2312" w:eastAsia="仿宋_GB2312"/>
                <w:sz w:val="24"/>
                <w:color w:val="000000"/>
              </w:rPr>
              <w:t>2）喷施规范：严格按照各方案规定的用量配比，精准称量药剂和助剂，避免随意降低或加大浓度，防止出现药害；喷施时确保叶片正反面喷匀喷透，不重喷、不漏喷。</w:t>
            </w:r>
          </w:p>
          <w:p>
            <w:pPr>
              <w:pStyle w:val="null3"/>
              <w:jc w:val="left"/>
            </w:pPr>
            <w:r>
              <w:rPr>
                <w:rFonts w:ascii="仿宋_GB2312" w:hAnsi="仿宋_GB2312" w:cs="仿宋_GB2312" w:eastAsia="仿宋_GB2312"/>
                <w:sz w:val="24"/>
                <w:color w:val="000000"/>
              </w:rPr>
              <w:t>3）补喷要求：喷施后6小时内遇雨，需及时补喷，补喷时可适当减少药剂用量，避免重复喷施造成浪费和药害。</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3）配套田间管理措施</w:t>
            </w:r>
          </w:p>
          <w:p>
            <w:pPr>
              <w:pStyle w:val="null3"/>
              <w:jc w:val="left"/>
            </w:pPr>
            <w:r>
              <w:rPr>
                <w:rFonts w:ascii="仿宋_GB2312" w:hAnsi="仿宋_GB2312" w:cs="仿宋_GB2312" w:eastAsia="仿宋_GB2312"/>
                <w:sz w:val="24"/>
                <w:color w:val="000000"/>
              </w:rPr>
              <w:t>1）划锄松土：喷施后结合田间墒情，适时进行划锄，破除土壤板结，提升地温，促进根系下扎，助力麦苗吸收养分，缓解弱苗长势。</w:t>
            </w:r>
          </w:p>
          <w:p>
            <w:pPr>
              <w:pStyle w:val="null3"/>
              <w:jc w:val="left"/>
            </w:pPr>
            <w:r>
              <w:rPr>
                <w:rFonts w:ascii="仿宋_GB2312" w:hAnsi="仿宋_GB2312" w:cs="仿宋_GB2312" w:eastAsia="仿宋_GB2312"/>
                <w:sz w:val="24"/>
                <w:color w:val="000000"/>
              </w:rPr>
              <w:t>2）水分管理：春旱时段及时补水，优先采用滴灌、喷灌等节水灌溉方式，避免大水漫灌；低洼地块及时排水防渍，防止根系腐烂，影响麦苗生长。</w:t>
            </w:r>
          </w:p>
          <w:p>
            <w:pPr>
              <w:pStyle w:val="null3"/>
              <w:jc w:val="left"/>
            </w:pPr>
            <w:r>
              <w:rPr>
                <w:rFonts w:ascii="仿宋_GB2312" w:hAnsi="仿宋_GB2312" w:cs="仿宋_GB2312" w:eastAsia="仿宋_GB2312"/>
                <w:sz w:val="24"/>
                <w:color w:val="000000"/>
              </w:rPr>
              <w:t>3）病虫防控：密切监测小麦条锈病、茎基腐病、麦蚜、红蜘蛛等病虫害，选准对路农药，结合叶面喷施同步防控，避免病虫害蔓延加重弱苗长势。作业使用的农药必须符合国家标准，三证齐全(三证:农药登记证、农药生产许可证(或农药生产批准文件)、农药标准证)，高效低毒、安全环保，在有效期内。</w:t>
            </w:r>
          </w:p>
          <w:p>
            <w:pPr>
              <w:pStyle w:val="null3"/>
              <w:jc w:val="left"/>
            </w:pPr>
            <w:r>
              <w:rPr>
                <w:rFonts w:ascii="仿宋_GB2312" w:hAnsi="仿宋_GB2312" w:cs="仿宋_GB2312" w:eastAsia="仿宋_GB2312"/>
                <w:sz w:val="24"/>
                <w:color w:val="000000"/>
              </w:rPr>
              <w:t>4、人员要求：按照项目实际情况进行配置。</w:t>
            </w:r>
          </w:p>
          <w:p>
            <w:pPr>
              <w:pStyle w:val="null3"/>
            </w:pPr>
            <w:r>
              <w:rPr>
                <w:rFonts w:ascii="仿宋_GB2312" w:hAnsi="仿宋_GB2312" w:cs="仿宋_GB2312" w:eastAsia="仿宋_GB2312"/>
                <w:sz w:val="24"/>
              </w:rPr>
              <w:t>5、防治效果：通过该项目的实施，有效提高我区粮食气象灾害综合防控能力，减少受灾地区农业损失，确保我区粮食稳产增收，综合防治效果达到85%以上。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按照项目实际情况进行配置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按照项目实际情况进行配置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按照项目实际情况进行配置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按照项目实际情况进行配置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按照项目实际情况进行配置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按照项目实际情况进行配置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接到采购人通知后7日内完成全部作业任务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接到采购人通知后7日内完成全部作业任务。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接到采购人通知后7日内完成全部作业任务。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新丰、何寨、任留街办</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相桥、油槐、交口街道办</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雨金、栎阳、徐杨、新市街道办</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符合国家标准及国家行政部门颁布的法律法规、规章制度等。采购人依据以上要求及采购文件、供应商的投标文件进行验收。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符合国家标准及国家行政部门颁布的法律法规、规章制度等。采购人依据以上要求及采购文件、供应商的投标文件进行验收。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符合国家标准及国家行政部门颁布的法律法规、规章制度等。采购人依据以上要求及采购文件、供应商的投标文件进行验收。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合同签订后，供应商出具相关票据给采购人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服务结束经采购人邀请相关部门验收合格后，供应商出具相关票据给采购人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合同签订后，供应商出具相关票据给采购人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服务结束经采购人邀请相关部门验收合格后，供应商出具相关票据给采购人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合同签订后，供应商出具相关票据给采购人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服务结束经采购人邀请相关部门验收合格后，供应商出具相关票据给采购人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的相关条款执行。成交供应商未按合同要求履行义务或者发生违约，采购人有权终止合同，并对成交供应商的违约行为进行追究。采购人违约的，应当赔偿给成交供应商造成的经济损失。合同执行中发生争议的，双方应协商解决，协商不成的，可向项目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的相关条款和本合同约定的相关条款执行。成交供应商未按合同要求履行义务或者发生违约，采购人有权终止合同，并对成交供应商的违约行为进行追究。采购人违约的，应当赔偿给成交供应商造成的经济损失。合同执行中发生争议的，双方应协商解决，协商不成的，可向项目所在地人民法院提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中华人民共和国民法典》、《中华人民共和国政府采购法》的相关条款和本合同约定的相关条款执行。成交供应商未按合同要求履行义务或者发生违约，采购人有权终止合同，并对成交供应商的违约行为进行追究。采购人违约的，应当赔偿给成交供应商造成的经济损失。合同执行中发生争议的，双方应协商解决，协商不成的，可向项目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单位在成交后，须向采购代理机构提供纸质版响应文件3套（1正2副），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供应商应具有独立承担民事责任的能力，具有法人、事业法人、其他组织的营业执照等证明文件。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或2025年度的财务审计报告（成立时间不到一年的可提供成立后任意时段的资产负债表）或响应文件递截止时间前六个月内其基本账户银行出具的资信证明（附基本账户证明）或政府采购信用担保机构出具的磋商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供应商提供磋商响应文件递交截止日前6个月内已缴纳的至少一个月的纳税证明或完税证明，依法免税的单位应提供相关证明材料。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供应商提供磋商响应文件递交截止日前6个月内已缴存的至少一个月的社会保障资金缴存单据或社保机构开具的社会保险参保缴费情况证明，依法不需要缴纳社会保障资金的单位应提供相关证明材料。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法人授权</w:t>
            </w:r>
          </w:p>
        </w:tc>
        <w:tc>
          <w:tcPr>
            <w:tcW w:type="dxa" w:w="3322"/>
          </w:tcPr>
          <w:p>
            <w:pPr>
              <w:pStyle w:val="null3"/>
            </w:pPr>
            <w:r>
              <w:rPr>
                <w:rFonts w:ascii="仿宋_GB2312" w:hAnsi="仿宋_GB2312" w:cs="仿宋_GB2312" w:eastAsia="仿宋_GB2312"/>
              </w:rPr>
              <w:t>法定代表人授权委托书（附法定代表人及被授权委托代理人身份证复印件）及被授权委托人身份证（法定代表人参加投标只须提供法定代表人身份证）。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通用航空企业经营许可证》或《民用无人驾驶航空器运营合格证》，相关作业人员具有《植保无人机系统操作手合格证》；供应商是生产厂家的，提供的农药产品必须有“农药三证”（分别是《农药登记证》、《农药生产许可证或农药生产批准文件》、《农药标准证》）；供应商如为经销商的，须提供《农药经营许可证》及生产厂家的《农药登记证》、《农药生产许可证或农药生产批准文件》、《农药标准证》。提供的肥料需具有有效期内的肥料登记证或农业农村部登记备案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供应商未被“信用中国”网站(https://www.creditchina.gov.cn/)列入失信被执行人和重大税收违法失信主体，未被中国政府采购网(http://www.ccgp.gov.cn/search/cr/)列入政府采购严重违法失信行为记录名单。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供应商控股、管理关系说明</w:t>
            </w:r>
          </w:p>
        </w:tc>
        <w:tc>
          <w:tcPr>
            <w:tcW w:type="dxa" w:w="3322"/>
          </w:tcPr>
          <w:p>
            <w:pPr>
              <w:pStyle w:val="null3"/>
            </w:pPr>
            <w:r>
              <w:rPr>
                <w:rFonts w:ascii="仿宋_GB2312" w:hAnsi="仿宋_GB2312" w:cs="仿宋_GB2312" w:eastAsia="仿宋_GB2312"/>
              </w:rPr>
              <w:t>单位负责人为同一人或者存在控股、管理关系的不同单位不得同时磋商。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非联合体磋商的声明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供应商应具有独立承担民事责任的能力，具有法人、事业法人、其他组织的营业执照等证明文件。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或2025年度的财务审计报告（成立时间不到一年的可提供成立后任意时段的资产负债表）或响应文件递截止时间前六个月内其基本账户银行出具的资信证明（附基本账户证明）或政府采购信用担保机构出具的磋商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供应商提供磋商响应文件递交截止日前6个月内已缴纳的至少一个月的纳税证明或完税证明，依法免税的单位应提供相关证明材料。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供应商提供磋商响应文件递交截止日前6个月内已缴存的至少一个月的社会保障资金缴存单据或社保机构开具的社会保险参保缴费情况证明，依法不需要缴纳社会保障资金的单位应提供相关证明材料。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法人授权</w:t>
            </w:r>
          </w:p>
        </w:tc>
        <w:tc>
          <w:tcPr>
            <w:tcW w:type="dxa" w:w="3322"/>
          </w:tcPr>
          <w:p>
            <w:pPr>
              <w:pStyle w:val="null3"/>
            </w:pPr>
            <w:r>
              <w:rPr>
                <w:rFonts w:ascii="仿宋_GB2312" w:hAnsi="仿宋_GB2312" w:cs="仿宋_GB2312" w:eastAsia="仿宋_GB2312"/>
              </w:rPr>
              <w:t>法定代表人授权委托书（附法定代表人及被授权委托代理人身份证复印件）及被授权委托人身份证（法定代表人参加投标只须提供法定代表人身份证）。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通用航空企业经营许可证》或《民用无人驾驶航空器运营合格证》，相关作业人员具有《植保无人机系统操作手合格证》；供应商是生产厂家的，提供的农药产品必须有“农药三证”（分别是《农药登记证》、《农药生产许可证或农药生产批准文件》、《农药标准证》）；供应商如为经销商的，须提供《农药经营许可证》及生产厂家的《农药登记证》、《农药生产许可证或农药生产批准文件》、《农药标准证》。提供的肥料需具有有效期内的肥料登记证或农业农村部登记备案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供应商未被“信用中国”网站(https://www.creditchina.gov.cn/)列入失信被执行人和重大税收违法失信主体，未被中国政府采购网(http://www.ccgp.gov.cn/search/cr/)列入政府采购严重违法失信行为记录名单。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供应商控股、管理关系说明</w:t>
            </w:r>
          </w:p>
        </w:tc>
        <w:tc>
          <w:tcPr>
            <w:tcW w:type="dxa" w:w="3322"/>
          </w:tcPr>
          <w:p>
            <w:pPr>
              <w:pStyle w:val="null3"/>
            </w:pPr>
            <w:r>
              <w:rPr>
                <w:rFonts w:ascii="仿宋_GB2312" w:hAnsi="仿宋_GB2312" w:cs="仿宋_GB2312" w:eastAsia="仿宋_GB2312"/>
              </w:rPr>
              <w:t>单位负责人为同一人或者存在控股、管理关系的不同单位不得同时磋商。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非联合体磋商的声明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供应商应具有独立承担民事责任的能力，具有法人、事业法人、其他组织的营业执照等证明文件。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或2025年度的财务审计报告（成立时间不到一年的可提供成立后任意时段的资产负债表）或响应文件递截止时间前六个月内其基本账户银行出具的资信证明（附基本账户证明）或政府采购信用担保机构出具的磋商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供应商提供磋商响应文件递交截止日前6个月内已缴纳的至少一个月的纳税证明或完税证明，依法免税的单位应提供相关证明材料。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供应商提供磋商响应文件递交截止日前6个月内已缴存的至少一个月的社会保障资金缴存单据或社保机构开具的社会保险参保缴费情况证明，依法不需要缴纳社会保障资金的单位应提供相关证明材料。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法人授权</w:t>
            </w:r>
          </w:p>
        </w:tc>
        <w:tc>
          <w:tcPr>
            <w:tcW w:type="dxa" w:w="3322"/>
          </w:tcPr>
          <w:p>
            <w:pPr>
              <w:pStyle w:val="null3"/>
            </w:pPr>
            <w:r>
              <w:rPr>
                <w:rFonts w:ascii="仿宋_GB2312" w:hAnsi="仿宋_GB2312" w:cs="仿宋_GB2312" w:eastAsia="仿宋_GB2312"/>
              </w:rPr>
              <w:t>法定代表人授权委托书（附法定代表人及被授权委托代理人身份证复印件）及被授权委托人身份证（法定代表人参加投标只须提供法定代表人身份证）。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通用航空企业经营许可证》或《民用无人驾驶航空器运营合格证》，相关作业人员具有《植保无人机系统操作手合格证》；供应商是生产厂家的，提供的农药产品必须有“农药三证”（分别是《农药登记证》、《农药生产许可证或农药生产批准文件》、《农药标准证》）；供应商如为经销商的，须提供《农药经营许可证》及生产厂家的《农药登记证》、《农药生产许可证或农药生产批准文件》、《农药标准证》。提供的肥料需具有有效期内的肥料登记证或农业农村部登记备案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供应商未被“信用中国”网站(https://www.creditchina.gov.cn/)列入失信被执行人和重大税收违法失信主体，未被中国政府采购网(http://www.ccgp.gov.cn/search/cr/)列入政府采购严重违法失信行为记录名单。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供应商控股、管理关系说明</w:t>
            </w:r>
          </w:p>
        </w:tc>
        <w:tc>
          <w:tcPr>
            <w:tcW w:type="dxa" w:w="3322"/>
          </w:tcPr>
          <w:p>
            <w:pPr>
              <w:pStyle w:val="null3"/>
            </w:pPr>
            <w:r>
              <w:rPr>
                <w:rFonts w:ascii="仿宋_GB2312" w:hAnsi="仿宋_GB2312" w:cs="仿宋_GB2312" w:eastAsia="仿宋_GB2312"/>
              </w:rPr>
              <w:t>单位负责人为同一人或者存在控股、管理关系的不同单位不得同时磋商。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非联合体磋商的声明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供应商名称应与证明材料及获取文件时相一致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磋商响应文件按竞争性磋商文件要求进行签署、盖章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投标报价是否唯一，是否超过磋商文件中规定的采购预算或最高限价</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供应商名称应与证明材料及获取文件时相一致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磋商响应文件按竞争性磋商文件要求进行签署、盖章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投标报价是否唯一，是否超过磋商文件中规定的采购预算或最高限价</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供应商名称应与证明材料及获取文件时相一致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磋商响应文件按竞争性磋商文件要求进行签署、盖章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投标报价是否唯一，是否超过磋商文件中规定的采购预算或最高限价</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3：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实施方案包含:①项目实施计划；②服务质量；③作业进度安排；④技术装备与设施；二、评分标准：以上评审内容切合本项目实际情况及实施要求，内容与要点相符、每个要点均有展开详细的阐述且能够适用于本项目的计20分；评审内容任意一项缺项扣5分，扣完为止；评审内容任意一项有缺陷扣1分。未提供方案或只有标题没有实质性内容的不得分。“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制定的质量保障方案，包括但不限于①服务质量保障体系；②药剂用量使用标准；③药剂符合国家标准，证明材料充足；④防治效果质量保障；⑤技术组织保障措施；⑥后期补防措施。 二、评分标准:以上评审内容完善、全面合理、架构完整、层次清楚、具有针对性和可实施性，得18分，缺失1项扣3分。评审内容任意一项有缺陷扣0.5分，扣完为止。“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供应商针对本项目制定的安全保障方案，包括但不限于①在作业过程中人员安全保障措施;②作业环境安全防范;③药剂使用安全保障。二、评分标准(12分):以上评审内容完善、全面合理、架构完整、层次清楚、具有针对性和可实施性，得12分，缺失1项扣4分。评审内容任意一项有缺陷扣0.5分，扣完为止。“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供应商针对本项目的组织管理机构包括但不限于供应商针对本项目提供详细的人员配备方案包括但不限于①人员数量、分工、从业经验等；②岗位配备及职责；二、评分标准：以上评审内容全面、合理，切合本项目实际情况及实施要求，阐述详细且能够适用于本项目的计5分；评审内容任意一项缺项扣2.5分，扣完为止；评审内容任意一项有缺陷扣0.5分。未提供方案或只有标题没有实质性内容的不得分。“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航化作业组织的规模、能力</w:t>
            </w:r>
          </w:p>
        </w:tc>
        <w:tc>
          <w:tcPr>
            <w:tcW w:type="dxa" w:w="2492"/>
          </w:tcPr>
          <w:p>
            <w:pPr>
              <w:pStyle w:val="null3"/>
            </w:pPr>
            <w:r>
              <w:rPr>
                <w:rFonts w:ascii="仿宋_GB2312" w:hAnsi="仿宋_GB2312" w:cs="仿宋_GB2312" w:eastAsia="仿宋_GB2312"/>
              </w:rPr>
              <w:t>1、具备植保无人机系统操作手合格证的飞手不少于20名（以合格证为准），共3分，每少一名人员扣0.15分，扣完为止。2、开展航化作业的无人机设备不少于20架（需提供相关证明材料）计3分，每少一架航化作业设备扣0.15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制定的应急方案，包括但不限于①在作业过程中出现突发问题的应急处置方案;②应急响应时间:③出现突发状况应急人员安排。二、评分标准(9分):整体方案内容完善、全面合理、架构完整、层次清楚、具有针对性和可实施性，得9分，缺失1项扣3分。审内容任意一项有缺陷扣0.5分。未提供方案或只有标题没有实质性内容的不得分。“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供应商提供针对本项目的服务承诺和合理化建议，包含①服务承诺方案②其他实质性承诺③合理化建议。二、评审标准：以上评审内容详细能结合本项目实际情况，合理有效，内容完善、可行性强，每个要点均有展开详细的阐述且能够适用于本项目的计9分；评审内容任意一项缺项扣3分，扣完为止；评审内容有缺陷扣0.5分。未提供方案或只有标题没有实质性内容的不得分。“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提供供应商自2023年1月1日至今的类似业绩，每一份计2分，计满8分为止（业绩证明材料以中标通知书或合同为准）。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企业获奖情况</w:t>
            </w:r>
          </w:p>
        </w:tc>
        <w:tc>
          <w:tcPr>
            <w:tcW w:type="dxa" w:w="2492"/>
          </w:tcPr>
          <w:p>
            <w:pPr>
              <w:pStyle w:val="null3"/>
            </w:pPr>
            <w:r>
              <w:rPr>
                <w:rFonts w:ascii="仿宋_GB2312" w:hAnsi="仿宋_GB2312" w:cs="仿宋_GB2312" w:eastAsia="仿宋_GB2312"/>
              </w:rPr>
              <w:t>供应商获得与农业生产、社会化服务、病虫害防治、粮食安全相关的荣誉/获奖证书，每提供1项得1分，最多得3分，不提供不得分。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价格分采用低价优先法计算，即满足磋商文件要求且最终报价最低的磋商评审价为磋商基准价， 其价格分为满分。其他供应商的价格分统一按照下列公式计算： 有效报价得分=（磋商基准价/磋商评审价） ×价格权值×100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实施方案包含:①项目实施计划；②服务质量；③作业进度安排；④技术装备与设施；二、评分标准：以上评审内容切合本项目实际情况及实施要求，内容与要点相符、每个要点均有展开详细的阐述且能够适用于本项目的计20分；评审内容任意一项缺项扣5分，扣完为止；评审内容任意一项有缺陷扣1分。未提供方案或只有标题没有实质性内容的不得分。“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制定的质量保障方案，包括但不限于①服务质量保障体系；②药剂用量使用标准；③药剂符合国家标准，证明材料充足；④防治效果质量保障；⑤技术组织保障措施；⑥后期补防措施。 二、评分标准:以上评审内容完善、全面合理、架构完整、层次清楚、具有针对性和可实施性，得18分，缺失1项扣3分。评审内容任意一项有缺陷扣0.5分，扣完为止。“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供应商针对本项目制定的安全保障方案，包括但不限于①在作业过程中人员安全保障措施;②作业环境安全防范;③药剂使用安全保障。二、评分标准(12分):以上评审内容完善、全面合理、架构完整、层次清楚、具有针对性和可实施性，得12分，缺失1项扣4分。评审内容任意一项有缺陷扣0.5分，扣完为止。“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供应商针对本项目的组织管理机构包括但不限于供应商针对本项目提供详细的人员配备方案包括但不限于①人员数量、分工、从业经验等；②岗位配备及职责；二、评分标准：以上评审内容全面、合理，切合本项目实际情况及实施要求，阐述详细且能够适用于本项目的计5分；评审内容任意一项缺项扣2.5分，扣完为止；评审内容任意一项有缺陷扣0.5分。未提供方案或只有标题没有实质性内容的不得分。“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航化作业组织的规模、能力</w:t>
            </w:r>
          </w:p>
        </w:tc>
        <w:tc>
          <w:tcPr>
            <w:tcW w:type="dxa" w:w="2492"/>
          </w:tcPr>
          <w:p>
            <w:pPr>
              <w:pStyle w:val="null3"/>
            </w:pPr>
            <w:r>
              <w:rPr>
                <w:rFonts w:ascii="仿宋_GB2312" w:hAnsi="仿宋_GB2312" w:cs="仿宋_GB2312" w:eastAsia="仿宋_GB2312"/>
              </w:rPr>
              <w:t>1、具备植保无人机系统操作手合格证的飞手不少于30名（以合格证为准），共3分，每少一名人员扣0.1分，扣完为止。2、开展航化作业的无人机设备不少于30架（需提供相关证明材料）计3分，每少一架航化作业设备扣0.1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制定的应急方案，包括但不限于①在作业过程中出现突发问题的应急处置方案;②应急响应时间:③出现突发状况应急人员安排。二、评分标准(9分):整体方案内容完善、全面合理、架构完整、层次清楚、具有针对性和可实施性，得9分，缺失1项扣3分。审内容任意一项有缺陷扣0.5分。未提供方案或只有标题没有实质性内容的不得分。“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供应商提供针对本项目的服务承诺和合理化建议，包含①服务承诺方案②其他实质性承诺③合理化建议。二、评审标准：以上评审内容详细能结合本项目实际情况，合理有效，内容完善、可行性强，每个要点均有展开详细的阐述且能够适用于本项目的计9分；评审内容任意一项缺项扣3分，扣完为止；评审内容有缺陷扣0.5分。未提供方案或只有标题没有实质性内容的不得分。“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提供供应商自2023年1月1日至今的类似业绩，每一份计2分，计满8分为止（业绩证明材料以中标通知书或合同为准）。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企业获奖情况</w:t>
            </w:r>
          </w:p>
        </w:tc>
        <w:tc>
          <w:tcPr>
            <w:tcW w:type="dxa" w:w="2492"/>
          </w:tcPr>
          <w:p>
            <w:pPr>
              <w:pStyle w:val="null3"/>
            </w:pPr>
            <w:r>
              <w:rPr>
                <w:rFonts w:ascii="仿宋_GB2312" w:hAnsi="仿宋_GB2312" w:cs="仿宋_GB2312" w:eastAsia="仿宋_GB2312"/>
              </w:rPr>
              <w:t>供应商获得与农业生产、社会化服务、病虫害防治、粮食安全相关的荣誉/获奖证书，每提供1项得1分，最多得3分，不提供不得分。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价格分采用低价优先法计算，即满足磋商文件要求且最终报价最低的磋商评审价为磋商基准价， 其价格分为满分。其他供应商的价格分统一按照下列公式计算： 有效报价得分=（磋商基准价/磋商评审价） ×价格权值×100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实施方案包含:①项目实施计划；②服务质量；③作业进度安排；④技术装备与设施；二、评分标准：以上评审内容切合本项目实际情况及实施要求，内容与要点相符、每个要点均有展开详细的阐述且能够适用于本项目的计20分；评审内容任意一项缺项扣5分，扣完为止；评审内容任意一项有缺陷扣1分。未提供方案或只有标题没有实质性内容的不得分。“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制定的质量保障方案，包括但不限于①服务质量保障体系；②药剂用量使用标准；③药剂符合国家标准，证明材料充足；④防治效果质量保障；⑤技术组织保障措施；⑥后期补防措施。 二、评分标准:以上评审内容完善、全面合理、架构完整、层次清楚、具有针对性和可实施性，得18分，缺失1项扣3分。评审内容任意一项有缺陷扣0.5分，扣完为止。“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供应商针对本项目制定的安全保障方案，包括但不限于①在作业过程中人员安全保障措施;②作业环境安全防范;③药剂使用安全保障。二、评分标准(12分):以上评审内容完善、全面合理、架构完整、层次清楚、具有针对性和可实施性，得12分，缺失1项扣4分。评审内容任意一项有缺陷扣0.5分，扣完为止。“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供应商针对本项目的组织管理机构包括但不限于供应商针对本项目提供详细的人员配备方案包括但不限于①人员数量、分工、从业经验等；②岗位配备及职责；二、评分标准：以上评审内容全面、合理，切合本项目实际情况及实施要求，阐述详细且能够适用于本项目的计5分；评审内容任意一项缺项扣2.5分，扣完为止；评审内容任意一项有缺陷扣0.5分。未提供方案或只有标题没有实质性内容的不得分。“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航化作业组织的规模、能力</w:t>
            </w:r>
          </w:p>
        </w:tc>
        <w:tc>
          <w:tcPr>
            <w:tcW w:type="dxa" w:w="2492"/>
          </w:tcPr>
          <w:p>
            <w:pPr>
              <w:pStyle w:val="null3"/>
            </w:pPr>
            <w:r>
              <w:rPr>
                <w:rFonts w:ascii="仿宋_GB2312" w:hAnsi="仿宋_GB2312" w:cs="仿宋_GB2312" w:eastAsia="仿宋_GB2312"/>
              </w:rPr>
              <w:t>1、具备植保无人机系统操作手合格证的飞手不少于30名（以合格证为准），共3分，每少一名人员扣0.1分，扣完为止。2、开展航化作业的无人机设备不少于30架（需提供相关证明材料）计3分，每少一架航化作业设备扣0.1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制定的应急方案，包括但不限于①在作业过程中出现突发问题的应急处置方案;②应急响应时间:③出现突发状况应急人员安排。二、评分标准(9分):整体方案内容完善、全面合理、架构完整、层次清楚、具有针对性和可实施性，得9分，缺失1项扣3分。审内容任意一项有缺陷扣0.5分。未提供方案或只有标题没有实质性内容的不得分。“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供应商提供针对本项目的服务承诺和合理化建议，包含①服务承诺方案②其他实质性承诺③合理化建议。二、评审标准：以上评审内容详细能结合本项目实际情况，合理有效，内容完善、可行性强，每个要点均有展开详细的阐述且能够适用于本项目的计9分；评审内容任意一项缺项扣3分，扣完为止；评审内容有缺陷扣0.5分。未提供方案或只有标题没有实质性内容的不得分。“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提供供应商自2023年1月1日至今的类似业绩，每一份计2分，计满8分为止（业绩证明材料以中标通知书或合同为准）。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企业获奖情况</w:t>
            </w:r>
          </w:p>
        </w:tc>
        <w:tc>
          <w:tcPr>
            <w:tcW w:type="dxa" w:w="2492"/>
          </w:tcPr>
          <w:p>
            <w:pPr>
              <w:pStyle w:val="null3"/>
            </w:pPr>
            <w:r>
              <w:rPr>
                <w:rFonts w:ascii="仿宋_GB2312" w:hAnsi="仿宋_GB2312" w:cs="仿宋_GB2312" w:eastAsia="仿宋_GB2312"/>
              </w:rPr>
              <w:t>供应商获得与农业生产、社会化服务、病虫害防治、粮食安全相关的荣誉/获奖证书，每提供1项得1分，最多得3分，不提供不得分。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价格分采用低价优先法计算，即满足磋商文件要求且最终报价最低的磋商评审价为磋商基准价， 其价格分为满分。其他供应商的价格分统一按照下列公式计算： 有效报价得分=（磋商基准价/磋商评审价） ×价格权值×100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