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7E696">
      <w:pPr>
        <w:keepNext w:val="0"/>
        <w:keepLines w:val="0"/>
        <w:pageBreakBefore w:val="0"/>
        <w:widowControl w:val="0"/>
        <w:kinsoku/>
        <w:wordWrap/>
        <w:overflowPunct w:val="0"/>
        <w:topLinePunct w:val="0"/>
        <w:bidi w:val="0"/>
        <w:spacing w:before="110" w:line="224" w:lineRule="auto"/>
        <w:ind w:left="3007"/>
        <w:outlineLvl w:val="0"/>
        <w:rPr>
          <w:rFonts w:hint="default" w:ascii="宋体" w:hAnsi="宋体" w:eastAsia="宋体" w:cs="宋体"/>
          <w:color w:val="auto"/>
          <w:sz w:val="31"/>
          <w:szCs w:val="31"/>
          <w:lang w:val="en-US" w:eastAsia="zh-CN"/>
        </w:rPr>
      </w:pPr>
      <w:r>
        <w:rPr>
          <w:rFonts w:ascii="宋体" w:hAnsi="宋体" w:eastAsia="宋体" w:cs="宋体"/>
          <w:color w:val="auto"/>
          <w:spacing w:val="6"/>
          <w:sz w:val="31"/>
          <w:szCs w:val="31"/>
        </w:rPr>
        <w:t xml:space="preserve"> </w:t>
      </w:r>
      <w:r>
        <w:rPr>
          <w:rFonts w:ascii="宋体" w:hAnsi="宋体" w:eastAsia="宋体" w:cs="宋体"/>
          <w:b/>
          <w:bCs/>
          <w:color w:val="auto"/>
          <w:spacing w:val="6"/>
          <w:sz w:val="31"/>
          <w:szCs w:val="31"/>
        </w:rPr>
        <w:t>合同</w:t>
      </w:r>
      <w:r>
        <w:rPr>
          <w:rFonts w:hint="eastAsia" w:ascii="宋体" w:hAnsi="宋体" w:eastAsia="宋体" w:cs="宋体"/>
          <w:b/>
          <w:bCs/>
          <w:color w:val="auto"/>
          <w:spacing w:val="6"/>
          <w:sz w:val="31"/>
          <w:szCs w:val="31"/>
          <w:lang w:val="en-US" w:eastAsia="zh-CN"/>
        </w:rPr>
        <w:t>范本</w:t>
      </w:r>
    </w:p>
    <w:p w14:paraId="451783CC">
      <w:pPr>
        <w:pStyle w:val="2"/>
        <w:keepNext w:val="0"/>
        <w:keepLines w:val="0"/>
        <w:pageBreakBefore w:val="0"/>
        <w:widowControl w:val="0"/>
        <w:kinsoku/>
        <w:wordWrap/>
        <w:overflowPunct w:val="0"/>
        <w:topLinePunct w:val="0"/>
        <w:bidi w:val="0"/>
        <w:spacing w:line="258" w:lineRule="auto"/>
        <w:rPr>
          <w:color w:val="auto"/>
        </w:rPr>
      </w:pPr>
    </w:p>
    <w:p w14:paraId="4E5CF6AB">
      <w:pPr>
        <w:spacing w:line="360" w:lineRule="auto"/>
        <w:jc w:val="both"/>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合同编号:</w:t>
      </w:r>
    </w:p>
    <w:p w14:paraId="1F3005A2">
      <w:pPr>
        <w:spacing w:line="360" w:lineRule="auto"/>
        <w:jc w:val="center"/>
        <w:rPr>
          <w:rFonts w:hint="eastAsia" w:ascii="仿宋" w:hAnsi="仿宋" w:eastAsia="仿宋" w:cs="仿宋"/>
          <w:b/>
          <w:color w:val="auto"/>
          <w:sz w:val="72"/>
          <w:szCs w:val="52"/>
          <w:highlight w:val="none"/>
        </w:rPr>
      </w:pPr>
    </w:p>
    <w:p w14:paraId="00D31FDF">
      <w:pPr>
        <w:spacing w:line="360" w:lineRule="auto"/>
        <w:jc w:val="center"/>
        <w:outlineLvl w:val="9"/>
        <w:rPr>
          <w:rFonts w:hint="eastAsia" w:ascii="仿宋" w:hAnsi="仿宋" w:eastAsia="仿宋" w:cs="仿宋"/>
          <w:b/>
          <w:color w:val="auto"/>
          <w:sz w:val="72"/>
          <w:szCs w:val="52"/>
          <w:highlight w:val="none"/>
        </w:rPr>
      </w:pPr>
      <w:bookmarkStart w:id="0" w:name="_Toc29806"/>
      <w:bookmarkStart w:id="1" w:name="_Toc24505"/>
      <w:bookmarkStart w:id="2" w:name="_Toc28685"/>
      <w:bookmarkStart w:id="3" w:name="_Toc6353"/>
      <w:r>
        <w:rPr>
          <w:rFonts w:hint="eastAsia" w:ascii="仿宋" w:hAnsi="仿宋" w:eastAsia="仿宋" w:cs="仿宋"/>
          <w:b/>
          <w:color w:val="auto"/>
          <w:sz w:val="72"/>
          <w:szCs w:val="52"/>
          <w:highlight w:val="none"/>
        </w:rPr>
        <w:t>政府采购合同</w:t>
      </w:r>
      <w:bookmarkEnd w:id="0"/>
      <w:bookmarkEnd w:id="1"/>
      <w:bookmarkEnd w:id="2"/>
      <w:bookmarkEnd w:id="3"/>
    </w:p>
    <w:p w14:paraId="29F9EDA9">
      <w:pPr>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b/>
          <w:color w:val="auto"/>
          <w:sz w:val="52"/>
          <w:szCs w:val="52"/>
          <w:highlight w:val="none"/>
        </w:rPr>
        <w:t>（示范文本）</w:t>
      </w:r>
    </w:p>
    <w:p w14:paraId="5A6D104E">
      <w:pPr>
        <w:spacing w:line="360" w:lineRule="auto"/>
        <w:jc w:val="center"/>
        <w:rPr>
          <w:rFonts w:hint="eastAsia" w:ascii="仿宋" w:hAnsi="仿宋" w:eastAsia="仿宋" w:cs="仿宋"/>
          <w:bCs/>
          <w:color w:val="auto"/>
          <w:sz w:val="32"/>
          <w:szCs w:val="32"/>
          <w:highlight w:val="none"/>
        </w:rPr>
      </w:pPr>
    </w:p>
    <w:p w14:paraId="31D2319D">
      <w:pPr>
        <w:spacing w:line="360" w:lineRule="auto"/>
        <w:jc w:val="center"/>
        <w:rPr>
          <w:rFonts w:hint="eastAsia" w:ascii="仿宋" w:hAnsi="仿宋" w:eastAsia="仿宋" w:cs="仿宋"/>
          <w:bCs/>
          <w:color w:val="auto"/>
          <w:sz w:val="32"/>
          <w:szCs w:val="32"/>
          <w:highlight w:val="none"/>
        </w:rPr>
      </w:pPr>
    </w:p>
    <w:p w14:paraId="0F265875">
      <w:pPr>
        <w:spacing w:line="360" w:lineRule="auto"/>
        <w:jc w:val="center"/>
        <w:rPr>
          <w:rFonts w:hint="eastAsia" w:ascii="仿宋" w:hAnsi="仿宋" w:eastAsia="仿宋" w:cs="仿宋"/>
          <w:bCs/>
          <w:color w:val="auto"/>
          <w:sz w:val="32"/>
          <w:szCs w:val="32"/>
          <w:highlight w:val="none"/>
        </w:rPr>
      </w:pPr>
    </w:p>
    <w:p w14:paraId="079B4B6C">
      <w:pPr>
        <w:spacing w:line="360" w:lineRule="auto"/>
        <w:jc w:val="center"/>
        <w:rPr>
          <w:rFonts w:hint="eastAsia" w:ascii="仿宋" w:hAnsi="仿宋" w:eastAsia="仿宋" w:cs="仿宋"/>
          <w:bCs/>
          <w:color w:val="auto"/>
          <w:sz w:val="32"/>
          <w:szCs w:val="32"/>
          <w:highlight w:val="none"/>
        </w:rPr>
      </w:pPr>
    </w:p>
    <w:p w14:paraId="481BCFE7">
      <w:pPr>
        <w:spacing w:line="360" w:lineRule="auto"/>
        <w:jc w:val="center"/>
        <w:rPr>
          <w:rFonts w:hint="eastAsia" w:ascii="仿宋" w:hAnsi="仿宋" w:eastAsia="仿宋" w:cs="仿宋"/>
          <w:bCs/>
          <w:color w:val="auto"/>
          <w:sz w:val="32"/>
          <w:szCs w:val="32"/>
          <w:highlight w:val="none"/>
        </w:rPr>
      </w:pPr>
    </w:p>
    <w:p w14:paraId="32038E87">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auto"/>
          <w:sz w:val="32"/>
          <w:szCs w:val="32"/>
          <w:highlight w:val="none"/>
          <w:u w:val="single"/>
          <w:lang w:val="en-US" w:eastAsia="zh-CN"/>
        </w:rPr>
      </w:pPr>
      <w:r>
        <w:rPr>
          <w:rFonts w:hint="eastAsia" w:ascii="仿宋" w:hAnsi="仿宋" w:eastAsia="仿宋" w:cs="仿宋"/>
          <w:bCs/>
          <w:color w:val="auto"/>
          <w:sz w:val="32"/>
          <w:szCs w:val="32"/>
          <w:highlight w:val="none"/>
        </w:rPr>
        <w:t>采购项目名称</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u w:val="single"/>
          <w:lang w:val="en-US" w:eastAsia="zh-CN"/>
        </w:rPr>
        <w:t xml:space="preserve">                         </w:t>
      </w:r>
    </w:p>
    <w:p w14:paraId="674D1A96">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采购人</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u w:val="single"/>
          <w:lang w:val="en-US" w:eastAsia="zh-CN"/>
        </w:rPr>
        <w:t xml:space="preserve">                               </w:t>
      </w:r>
    </w:p>
    <w:p w14:paraId="3DDDF79F">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成交供应商</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u w:val="single"/>
          <w:lang w:val="en-US" w:eastAsia="zh-CN"/>
        </w:rPr>
        <w:t xml:space="preserve">                           </w:t>
      </w:r>
    </w:p>
    <w:p w14:paraId="727C7FAB">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640" w:firstLineChars="200"/>
        <w:jc w:val="both"/>
        <w:textAlignment w:val="auto"/>
        <w:rPr>
          <w:rFonts w:hint="eastAsia" w:ascii="仿宋" w:hAnsi="仿宋" w:eastAsia="仿宋" w:cs="仿宋"/>
          <w:b/>
          <w:color w:val="auto"/>
          <w:sz w:val="72"/>
          <w:szCs w:val="52"/>
          <w:highlight w:val="none"/>
          <w:lang w:eastAsia="zh-CN"/>
        </w:rPr>
      </w:pPr>
      <w:r>
        <w:rPr>
          <w:rFonts w:hint="eastAsia" w:ascii="仿宋" w:hAnsi="仿宋" w:eastAsia="仿宋" w:cs="仿宋"/>
          <w:bCs/>
          <w:color w:val="auto"/>
          <w:sz w:val="32"/>
          <w:szCs w:val="32"/>
          <w:highlight w:val="none"/>
        </w:rPr>
        <w:t>签署日期</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u w:val="single"/>
          <w:lang w:val="en-US" w:eastAsia="zh-CN"/>
        </w:rPr>
        <w:t xml:space="preserve">                             </w:t>
      </w:r>
    </w:p>
    <w:p w14:paraId="5164E8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12457364">
      <w:pPr>
        <w:pStyle w:val="4"/>
        <w:rPr>
          <w:rFonts w:hint="eastAsia" w:ascii="仿宋" w:hAnsi="仿宋" w:eastAsia="仿宋" w:cs="仿宋"/>
          <w:color w:val="auto"/>
          <w:sz w:val="24"/>
          <w:szCs w:val="24"/>
          <w:lang w:val="en-US" w:eastAsia="zh-CN"/>
        </w:rPr>
      </w:pPr>
    </w:p>
    <w:p w14:paraId="123E5627">
      <w:pPr>
        <w:rPr>
          <w:rFonts w:hint="eastAsia" w:ascii="仿宋" w:hAnsi="仿宋" w:eastAsia="仿宋" w:cs="仿宋"/>
          <w:color w:val="auto"/>
          <w:sz w:val="24"/>
          <w:szCs w:val="24"/>
          <w:lang w:val="en-US" w:eastAsia="zh-CN"/>
        </w:rPr>
      </w:pPr>
    </w:p>
    <w:p w14:paraId="2AFDEB2D">
      <w:pPr>
        <w:pStyle w:val="4"/>
        <w:rPr>
          <w:rFonts w:hint="eastAsia" w:ascii="仿宋" w:hAnsi="仿宋" w:eastAsia="仿宋" w:cs="仿宋"/>
          <w:color w:val="auto"/>
          <w:sz w:val="24"/>
          <w:szCs w:val="24"/>
          <w:lang w:val="en-US" w:eastAsia="zh-CN"/>
        </w:rPr>
      </w:pPr>
    </w:p>
    <w:p w14:paraId="20D6424D">
      <w:pPr>
        <w:rPr>
          <w:rFonts w:hint="eastAsia" w:ascii="仿宋" w:hAnsi="仿宋" w:eastAsia="仿宋" w:cs="仿宋"/>
          <w:color w:val="auto"/>
          <w:sz w:val="24"/>
          <w:szCs w:val="24"/>
          <w:lang w:val="en-US" w:eastAsia="zh-CN"/>
        </w:rPr>
      </w:pPr>
    </w:p>
    <w:p w14:paraId="0C4874F9">
      <w:pPr>
        <w:pStyle w:val="4"/>
        <w:rPr>
          <w:rFonts w:hint="eastAsia" w:ascii="仿宋" w:hAnsi="仿宋" w:eastAsia="仿宋" w:cs="仿宋"/>
          <w:color w:val="auto"/>
          <w:sz w:val="24"/>
          <w:szCs w:val="24"/>
          <w:lang w:val="en-US" w:eastAsia="zh-CN"/>
        </w:rPr>
      </w:pPr>
    </w:p>
    <w:p w14:paraId="4E94F138">
      <w:pPr>
        <w:rPr>
          <w:rFonts w:hint="eastAsia" w:ascii="仿宋" w:hAnsi="仿宋" w:eastAsia="仿宋" w:cs="仿宋"/>
          <w:color w:val="auto"/>
          <w:sz w:val="24"/>
          <w:szCs w:val="24"/>
          <w:lang w:val="en-US" w:eastAsia="zh-CN"/>
        </w:rPr>
      </w:pPr>
    </w:p>
    <w:p w14:paraId="57420F64">
      <w:pPr>
        <w:pStyle w:val="4"/>
        <w:rPr>
          <w:rFonts w:hint="eastAsia" w:ascii="仿宋" w:hAnsi="仿宋" w:eastAsia="仿宋" w:cs="仿宋"/>
          <w:color w:val="auto"/>
          <w:sz w:val="24"/>
          <w:szCs w:val="24"/>
          <w:lang w:val="en-US" w:eastAsia="zh-CN"/>
        </w:rPr>
      </w:pPr>
    </w:p>
    <w:p w14:paraId="4C802A29">
      <w:pPr>
        <w:rPr>
          <w:rFonts w:hint="eastAsia" w:ascii="宋体" w:hAnsi="宋体" w:eastAsia="宋体" w:cs="宋体"/>
          <w:color w:val="auto"/>
          <w:lang w:val="en-US" w:eastAsia="zh-CN"/>
        </w:rPr>
      </w:pPr>
    </w:p>
    <w:p w14:paraId="1656E16F">
      <w:pPr>
        <w:pStyle w:val="3"/>
        <w:rPr>
          <w:rFonts w:hint="eastAsia" w:ascii="宋体" w:hAnsi="宋体" w:eastAsia="宋体" w:cs="宋体"/>
          <w:color w:val="auto"/>
          <w:sz w:val="24"/>
          <w:szCs w:val="24"/>
          <w:highlight w:val="none"/>
          <w:u w:val="single"/>
          <w:lang w:eastAsia="zh-CN"/>
        </w:rPr>
      </w:pPr>
      <w:bookmarkStart w:id="4" w:name="_Toc4186"/>
      <w:r>
        <w:rPr>
          <w:rFonts w:hint="eastAsia" w:ascii="宋体" w:hAnsi="宋体" w:eastAsia="宋体" w:cs="宋体"/>
          <w:color w:val="auto"/>
          <w:sz w:val="24"/>
          <w:szCs w:val="24"/>
          <w:highlight w:val="none"/>
        </w:rPr>
        <w:t>合同主要条款</w:t>
      </w:r>
      <w:bookmarkEnd w:id="4"/>
      <w:r>
        <w:rPr>
          <w:rFonts w:hint="eastAsia" w:ascii="宋体" w:hAnsi="宋体" w:eastAsia="宋体" w:cs="宋体"/>
          <w:color w:val="auto"/>
          <w:sz w:val="24"/>
          <w:szCs w:val="24"/>
          <w:highlight w:val="none"/>
          <w:lang w:val="en-US" w:eastAsia="zh-CN"/>
        </w:rPr>
        <w:t xml:space="preserve"> </w:t>
      </w:r>
    </w:p>
    <w:p w14:paraId="1C08C602">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依据《中华人民共和国民法典》和《中华人民共和国政府采购法》，经双方协商按下述条款和条件签署本合同。</w:t>
      </w:r>
    </w:p>
    <w:p w14:paraId="545E65D5">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采购人（甲方）：</w:t>
      </w:r>
      <w:r>
        <w:rPr>
          <w:rFonts w:hint="eastAsia" w:ascii="宋体" w:hAnsi="宋体" w:eastAsia="宋体" w:cs="宋体"/>
          <w:b w:val="0"/>
          <w:bCs w:val="0"/>
          <w:color w:val="auto"/>
          <w:sz w:val="24"/>
          <w:szCs w:val="24"/>
          <w:u w:val="single"/>
          <w:lang w:val="en-US" w:eastAsia="zh-CN"/>
        </w:rPr>
        <w:t xml:space="preserve">             </w:t>
      </w:r>
    </w:p>
    <w:p w14:paraId="3C0A4454">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成交人（乙方）：</w:t>
      </w:r>
      <w:r>
        <w:rPr>
          <w:rFonts w:hint="eastAsia" w:ascii="宋体" w:hAnsi="宋体" w:eastAsia="宋体" w:cs="宋体"/>
          <w:b w:val="0"/>
          <w:bCs w:val="0"/>
          <w:color w:val="auto"/>
          <w:sz w:val="24"/>
          <w:szCs w:val="24"/>
          <w:u w:val="single"/>
          <w:lang w:val="en-US" w:eastAsia="zh-CN"/>
        </w:rPr>
        <w:t xml:space="preserve">             </w:t>
      </w:r>
    </w:p>
    <w:p w14:paraId="79527F72">
      <w:pPr>
        <w:spacing w:line="52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一、合同格式</w:t>
      </w:r>
    </w:p>
    <w:p w14:paraId="71A1CD2F">
      <w:pPr>
        <w:widowControl/>
        <w:spacing w:line="520" w:lineRule="exact"/>
        <w:ind w:right="57" w:rightChars="27"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项目名称：</w:t>
      </w:r>
      <w:r>
        <w:rPr>
          <w:rFonts w:hint="eastAsia" w:ascii="宋体" w:hAnsi="宋体" w:eastAsia="宋体" w:cs="宋体"/>
          <w:b w:val="0"/>
          <w:bCs w:val="0"/>
          <w:color w:val="auto"/>
          <w:sz w:val="24"/>
          <w:szCs w:val="24"/>
          <w:u w:val="single"/>
          <w:lang w:val="en-US" w:eastAsia="zh-CN"/>
        </w:rPr>
        <w:t xml:space="preserve">             </w:t>
      </w:r>
    </w:p>
    <w:p w14:paraId="6E0DB1BD">
      <w:pPr>
        <w:widowControl/>
        <w:spacing w:line="520" w:lineRule="exact"/>
        <w:ind w:right="57" w:rightChars="27" w:firstLine="480" w:firstLineChars="20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项目</w:t>
      </w:r>
      <w:r>
        <w:rPr>
          <w:rFonts w:hint="eastAsia" w:ascii="宋体" w:hAnsi="宋体" w:eastAsia="宋体" w:cs="宋体"/>
          <w:b w:val="0"/>
          <w:bCs w:val="0"/>
          <w:color w:val="auto"/>
          <w:sz w:val="24"/>
          <w:szCs w:val="24"/>
          <w:lang w:eastAsia="zh-CN"/>
        </w:rPr>
        <w:t>编号：</w:t>
      </w:r>
      <w:r>
        <w:rPr>
          <w:rFonts w:hint="eastAsia" w:ascii="宋体" w:hAnsi="宋体" w:eastAsia="宋体" w:cs="宋体"/>
          <w:b w:val="0"/>
          <w:bCs w:val="0"/>
          <w:color w:val="auto"/>
          <w:sz w:val="24"/>
          <w:szCs w:val="24"/>
          <w:u w:val="single"/>
          <w:lang w:val="en-US" w:eastAsia="zh-CN"/>
        </w:rPr>
        <w:t xml:space="preserve">             </w:t>
      </w:r>
    </w:p>
    <w:p w14:paraId="1BD9F8BC">
      <w:pPr>
        <w:widowControl/>
        <w:spacing w:line="520" w:lineRule="exact"/>
        <w:ind w:right="57" w:rightChars="27"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西安市</w:t>
      </w:r>
      <w:r>
        <w:rPr>
          <w:rFonts w:hint="eastAsia" w:ascii="宋体" w:hAnsi="宋体" w:eastAsia="宋体" w:cs="宋体"/>
          <w:color w:val="auto"/>
          <w:sz w:val="24"/>
          <w:szCs w:val="24"/>
        </w:rPr>
        <w:t>临潼区农技推广服务中心</w:t>
      </w:r>
      <w:r>
        <w:rPr>
          <w:rFonts w:hint="eastAsia" w:ascii="宋体" w:hAnsi="宋体" w:eastAsia="宋体" w:cs="宋体"/>
          <w:color w:val="auto"/>
          <w:kern w:val="0"/>
          <w:sz w:val="24"/>
          <w:szCs w:val="24"/>
        </w:rPr>
        <w:t>(以下简称“甲方”)确定(成交单位名称)（以下简称“乙方”）为成交单位。</w:t>
      </w:r>
    </w:p>
    <w:p w14:paraId="1BC406CE">
      <w:pPr>
        <w:spacing w:line="520" w:lineRule="exact"/>
        <w:ind w:right="210" w:rightChars="100"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依据《中华人民共和国民法典》和《中华人民共和国政府采购法》《中华人民共和国政府采购法实施条例》，甲方通过竞争性磋商采购</w:t>
      </w:r>
      <w:r>
        <w:rPr>
          <w:rFonts w:hint="eastAsia" w:ascii="宋体" w:hAnsi="宋体" w:eastAsia="宋体" w:cs="宋体"/>
          <w:color w:val="auto"/>
          <w:kern w:val="0"/>
          <w:sz w:val="24"/>
          <w:szCs w:val="24"/>
          <w:u w:val="single"/>
        </w:rPr>
        <w:t xml:space="preserve">（服务名称） </w:t>
      </w:r>
      <w:r>
        <w:rPr>
          <w:rFonts w:hint="eastAsia" w:ascii="宋体" w:hAnsi="宋体" w:eastAsia="宋体" w:cs="宋体"/>
          <w:color w:val="auto"/>
          <w:kern w:val="0"/>
          <w:sz w:val="24"/>
          <w:szCs w:val="24"/>
        </w:rPr>
        <w:t>，并接受了乙方以价格</w:t>
      </w:r>
      <w:r>
        <w:rPr>
          <w:rFonts w:hint="eastAsia" w:ascii="宋体" w:hAnsi="宋体" w:eastAsia="宋体" w:cs="宋体"/>
          <w:color w:val="auto"/>
          <w:kern w:val="0"/>
          <w:sz w:val="24"/>
          <w:szCs w:val="24"/>
          <w:u w:val="single"/>
        </w:rPr>
        <w:t>(成交金额大写)</w:t>
      </w:r>
      <w:r>
        <w:rPr>
          <w:rFonts w:hint="eastAsia" w:ascii="宋体" w:hAnsi="宋体" w:eastAsia="宋体" w:cs="宋体"/>
          <w:color w:val="auto"/>
          <w:kern w:val="0"/>
          <w:sz w:val="24"/>
          <w:szCs w:val="24"/>
        </w:rPr>
        <w:t>(以下简称“合同价”)提供的服务。</w:t>
      </w:r>
    </w:p>
    <w:p w14:paraId="5C828B7F">
      <w:pPr>
        <w:spacing w:line="520" w:lineRule="exact"/>
        <w:ind w:firstLine="480" w:firstLineChars="200"/>
        <w:rPr>
          <w:rFonts w:hint="eastAsia" w:ascii="宋体" w:hAnsi="宋体" w:eastAsia="宋体" w:cs="宋体"/>
          <w:color w:val="auto"/>
          <w:sz w:val="24"/>
          <w:szCs w:val="24"/>
        </w:rPr>
      </w:pPr>
      <w:bookmarkStart w:id="5" w:name="_Toc193187095"/>
      <w:bookmarkStart w:id="6" w:name="_Toc188808831"/>
      <w:bookmarkStart w:id="7" w:name="_Toc194663916"/>
      <w:bookmarkStart w:id="8" w:name="_Toc193126879"/>
      <w:r>
        <w:rPr>
          <w:rFonts w:hint="eastAsia" w:ascii="宋体" w:hAnsi="宋体" w:eastAsia="宋体" w:cs="宋体"/>
          <w:color w:val="auto"/>
          <w:sz w:val="24"/>
          <w:szCs w:val="24"/>
        </w:rPr>
        <w:t>本合同在此声明如下：</w:t>
      </w:r>
    </w:p>
    <w:p w14:paraId="3C345B7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1、本合同中的词语和术语的含义与合同条款中定义的相同。</w:t>
      </w:r>
    </w:p>
    <w:p w14:paraId="4602B35B">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2、下述文件是本合同的一部分，并与本合同一起阅读和解释：</w:t>
      </w:r>
    </w:p>
    <w:p w14:paraId="6A86883E">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1）合同条款</w:t>
      </w:r>
    </w:p>
    <w:p w14:paraId="735C07B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2）合同条款附件</w:t>
      </w:r>
    </w:p>
    <w:p w14:paraId="5501621C">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3）成交通知书</w:t>
      </w:r>
    </w:p>
    <w:p w14:paraId="2B9FCD8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4）竞争性磋商文件</w:t>
      </w:r>
    </w:p>
    <w:p w14:paraId="5AEA1125">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5）竞争性磋商响应文件</w:t>
      </w:r>
    </w:p>
    <w:p w14:paraId="559F7688">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3、考虑到甲方将按照本合同向乙方支付款项，乙方在此保证全部按照合同的规定向甲方提供服务，并修补缺陷。</w:t>
      </w:r>
    </w:p>
    <w:p w14:paraId="3232DE6D">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4、考虑到乙方提供的服务并修补缺陷，甲方在此保证按照合同规定的时间和方式向乙方支付合同价或其他按合同规定应支付的金额。</w:t>
      </w:r>
    </w:p>
    <w:p w14:paraId="101D826F">
      <w:pPr>
        <w:pStyle w:val="5"/>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5、付款方式：</w:t>
      </w:r>
    </w:p>
    <w:p w14:paraId="1C51317B">
      <w:pPr>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签订后，供应商出具相关票据给采购人，达到付款条件起30日内，支付合同总价款40%作为预付款。服务结束经采购人邀请相关部门验收合格后，供应商出具相关票据给采购人，达到付款条件起30日内，支付合同总金额的60%。</w:t>
      </w:r>
    </w:p>
    <w:p w14:paraId="1FE31DF9">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6、服务期限：具体时间按甲方要求。</w:t>
      </w:r>
    </w:p>
    <w:p w14:paraId="1B72F88F">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服务地点：</w:t>
      </w:r>
      <w:r>
        <w:rPr>
          <w:rFonts w:hint="eastAsia" w:ascii="宋体" w:hAnsi="宋体" w:eastAsia="宋体" w:cs="宋体"/>
          <w:color w:val="auto"/>
          <w:sz w:val="24"/>
          <w:szCs w:val="24"/>
          <w:lang w:eastAsia="zh-CN"/>
        </w:rPr>
        <w:t>各</w:t>
      </w:r>
      <w:r>
        <w:rPr>
          <w:rFonts w:hint="eastAsia" w:ascii="宋体" w:hAnsi="宋体" w:eastAsia="宋体" w:cs="宋体"/>
          <w:color w:val="auto"/>
          <w:sz w:val="24"/>
          <w:szCs w:val="24"/>
          <w:lang w:val="en-US" w:eastAsia="zh-CN"/>
        </w:rPr>
        <w:t>采购包</w:t>
      </w:r>
      <w:r>
        <w:rPr>
          <w:rFonts w:hint="eastAsia" w:ascii="宋体" w:hAnsi="宋体" w:eastAsia="宋体" w:cs="宋体"/>
          <w:color w:val="auto"/>
          <w:sz w:val="24"/>
          <w:szCs w:val="24"/>
          <w:lang w:eastAsia="zh-CN"/>
        </w:rPr>
        <w:t>划分区域</w:t>
      </w:r>
      <w:r>
        <w:rPr>
          <w:rFonts w:hint="eastAsia" w:ascii="宋体" w:hAnsi="宋体" w:eastAsia="宋体" w:cs="宋体"/>
          <w:color w:val="auto"/>
          <w:sz w:val="24"/>
          <w:szCs w:val="24"/>
        </w:rPr>
        <w:t>（具体地</w:t>
      </w:r>
      <w:r>
        <w:rPr>
          <w:rFonts w:hint="eastAsia" w:ascii="宋体" w:hAnsi="宋体" w:eastAsia="宋体" w:cs="宋体"/>
          <w:color w:val="auto"/>
          <w:sz w:val="24"/>
          <w:szCs w:val="24"/>
          <w:lang w:eastAsia="zh-CN"/>
        </w:rPr>
        <w:t>点由</w:t>
      </w:r>
      <w:r>
        <w:rPr>
          <w:rFonts w:hint="eastAsia" w:ascii="宋体" w:hAnsi="宋体" w:eastAsia="宋体" w:cs="宋体"/>
          <w:color w:val="auto"/>
          <w:sz w:val="24"/>
          <w:szCs w:val="24"/>
        </w:rPr>
        <w:t>甲方指定）。</w:t>
      </w:r>
    </w:p>
    <w:p w14:paraId="18985478">
      <w:pPr>
        <w:adjustRightIn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7、本合同一式伍份，其中，甲方贰份，乙方贰份，</w:t>
      </w:r>
      <w:r>
        <w:rPr>
          <w:rFonts w:hint="eastAsia" w:ascii="宋体" w:hAnsi="宋体" w:eastAsia="宋体" w:cs="宋体"/>
          <w:color w:val="auto"/>
          <w:sz w:val="24"/>
          <w:szCs w:val="24"/>
          <w:lang w:val="en-US" w:eastAsia="zh-CN"/>
        </w:rPr>
        <w:t>临潼区</w:t>
      </w:r>
      <w:r>
        <w:rPr>
          <w:rFonts w:hint="eastAsia" w:ascii="宋体" w:hAnsi="宋体" w:eastAsia="宋体" w:cs="宋体"/>
          <w:color w:val="auto"/>
          <w:sz w:val="24"/>
          <w:szCs w:val="24"/>
        </w:rPr>
        <w:t>财政局备案壹份。</w:t>
      </w:r>
    </w:p>
    <w:p w14:paraId="48625680">
      <w:pPr>
        <w:adjustRightInd w:val="0"/>
        <w:snapToGrid w:val="0"/>
        <w:spacing w:line="52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8、本合同</w:t>
      </w:r>
      <w:r>
        <w:rPr>
          <w:rFonts w:hint="eastAsia" w:ascii="宋体" w:hAnsi="宋体" w:eastAsia="宋体" w:cs="宋体"/>
          <w:color w:val="auto"/>
          <w:kern w:val="0"/>
          <w:sz w:val="24"/>
          <w:szCs w:val="24"/>
          <w:lang w:eastAsia="zh-CN"/>
        </w:rPr>
        <w:t>自</w:t>
      </w:r>
      <w:r>
        <w:rPr>
          <w:rFonts w:hint="eastAsia" w:ascii="宋体" w:hAnsi="宋体" w:eastAsia="宋体" w:cs="宋体"/>
          <w:color w:val="auto"/>
          <w:kern w:val="0"/>
          <w:sz w:val="24"/>
          <w:szCs w:val="24"/>
        </w:rPr>
        <w:t>甲乙双方共同签字盖章之日起生效。</w:t>
      </w:r>
    </w:p>
    <w:p w14:paraId="720201C9">
      <w:pPr>
        <w:adjustRightInd w:val="0"/>
        <w:snapToGrid w:val="0"/>
        <w:spacing w:line="520" w:lineRule="exact"/>
        <w:ind w:firstLine="480" w:firstLineChars="200"/>
        <w:rPr>
          <w:rFonts w:hint="eastAsia" w:ascii="宋体" w:hAnsi="宋体" w:eastAsia="宋体" w:cs="宋体"/>
          <w:color w:val="auto"/>
          <w:kern w:val="0"/>
          <w:sz w:val="24"/>
          <w:szCs w:val="24"/>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29"/>
        <w:gridCol w:w="3850"/>
      </w:tblGrid>
      <w:tr w14:paraId="7B16F826">
        <w:tblPrEx>
          <w:tblCellMar>
            <w:top w:w="0" w:type="dxa"/>
            <w:left w:w="108" w:type="dxa"/>
            <w:bottom w:w="0" w:type="dxa"/>
            <w:right w:w="108" w:type="dxa"/>
          </w:tblCellMar>
        </w:tblPrEx>
        <w:trPr>
          <w:trHeight w:val="1364" w:hRule="atLeast"/>
        </w:trPr>
        <w:tc>
          <w:tcPr>
            <w:tcW w:w="4329" w:type="dxa"/>
            <w:noWrap w:val="0"/>
            <w:tcMar>
              <w:top w:w="113" w:type="dxa"/>
              <w:left w:w="113" w:type="dxa"/>
              <w:bottom w:w="113" w:type="dxa"/>
              <w:right w:w="113" w:type="dxa"/>
            </w:tcMar>
            <w:vAlign w:val="top"/>
          </w:tcPr>
          <w:p w14:paraId="21926F3F">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甲方名称： </w:t>
            </w:r>
          </w:p>
          <w:p w14:paraId="6186C567">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45E4F34D">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FF57125">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39CAB36E">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w:t>
            </w:r>
            <w:r>
              <w:rPr>
                <w:rFonts w:hint="eastAsia" w:ascii="宋体" w:hAnsi="宋体" w:eastAsia="宋体" w:cs="宋体"/>
                <w:color w:val="auto"/>
                <w:sz w:val="24"/>
                <w:szCs w:val="24"/>
              </w:rPr>
              <w:t>代表</w:t>
            </w:r>
          </w:p>
          <w:p w14:paraId="4FAB6562">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或委托代理人</w:t>
            </w:r>
            <w:r>
              <w:rPr>
                <w:rFonts w:hint="eastAsia" w:ascii="宋体" w:hAnsi="宋体" w:eastAsia="宋体" w:cs="宋体"/>
                <w:color w:val="auto"/>
                <w:sz w:val="24"/>
                <w:szCs w:val="24"/>
              </w:rPr>
              <w:t>签字</w:t>
            </w:r>
            <w:r>
              <w:rPr>
                <w:rFonts w:hint="eastAsia" w:ascii="宋体" w:hAnsi="宋体" w:eastAsia="宋体" w:cs="宋体"/>
                <w:color w:val="auto"/>
                <w:sz w:val="24"/>
                <w:szCs w:val="24"/>
                <w:lang w:eastAsia="zh-CN"/>
              </w:rPr>
              <w:t>或盖章</w:t>
            </w:r>
            <w:r>
              <w:rPr>
                <w:rFonts w:hint="eastAsia" w:ascii="宋体" w:hAnsi="宋体" w:eastAsia="宋体" w:cs="宋体"/>
                <w:color w:val="auto"/>
                <w:sz w:val="24"/>
                <w:szCs w:val="24"/>
              </w:rPr>
              <w:t>：</w:t>
            </w:r>
          </w:p>
          <w:p w14:paraId="4BE3F978">
            <w:pPr>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p>
        </w:tc>
        <w:tc>
          <w:tcPr>
            <w:tcW w:w="3850" w:type="dxa"/>
            <w:noWrap w:val="0"/>
            <w:tcMar>
              <w:top w:w="113" w:type="dxa"/>
              <w:left w:w="113" w:type="dxa"/>
              <w:bottom w:w="113" w:type="dxa"/>
              <w:right w:w="113" w:type="dxa"/>
            </w:tcMar>
            <w:vAlign w:val="top"/>
          </w:tcPr>
          <w:p w14:paraId="4C0C8D93">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p w14:paraId="6FB318E6">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493E4B78">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1264BAA0">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7E2D1C2E">
            <w:pPr>
              <w:autoSpaceDE w:val="0"/>
              <w:autoSpaceDN w:val="0"/>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w:t>
            </w:r>
            <w:r>
              <w:rPr>
                <w:rFonts w:hint="eastAsia" w:ascii="宋体" w:hAnsi="宋体" w:eastAsia="宋体" w:cs="宋体"/>
                <w:color w:val="auto"/>
                <w:sz w:val="24"/>
                <w:szCs w:val="24"/>
              </w:rPr>
              <w:t>代表</w:t>
            </w:r>
          </w:p>
          <w:p w14:paraId="151078D1">
            <w:pPr>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或委托代理人</w:t>
            </w:r>
            <w:r>
              <w:rPr>
                <w:rFonts w:hint="eastAsia" w:ascii="宋体" w:hAnsi="宋体" w:eastAsia="宋体" w:cs="宋体"/>
                <w:color w:val="auto"/>
                <w:sz w:val="24"/>
                <w:szCs w:val="24"/>
              </w:rPr>
              <w:t>签字</w:t>
            </w:r>
            <w:r>
              <w:rPr>
                <w:rFonts w:hint="eastAsia" w:ascii="宋体" w:hAnsi="宋体" w:eastAsia="宋体" w:cs="宋体"/>
                <w:color w:val="auto"/>
                <w:sz w:val="24"/>
                <w:szCs w:val="24"/>
                <w:lang w:eastAsia="zh-CN"/>
              </w:rPr>
              <w:t>或盖章</w:t>
            </w:r>
            <w:r>
              <w:rPr>
                <w:rFonts w:hint="eastAsia" w:ascii="宋体" w:hAnsi="宋体" w:eastAsia="宋体" w:cs="宋体"/>
                <w:color w:val="auto"/>
                <w:sz w:val="24"/>
                <w:szCs w:val="24"/>
              </w:rPr>
              <w:t>：</w:t>
            </w:r>
          </w:p>
          <w:p w14:paraId="7447FF0C">
            <w:pPr>
              <w:spacing w:line="520" w:lineRule="exact"/>
              <w:ind w:left="210" w:leftChars="1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bookmarkEnd w:id="5"/>
      <w:bookmarkEnd w:id="6"/>
      <w:bookmarkEnd w:id="7"/>
      <w:bookmarkEnd w:id="8"/>
    </w:tbl>
    <w:p w14:paraId="3146BCDC">
      <w:pPr>
        <w:rPr>
          <w:color w:val="auto"/>
        </w:rPr>
      </w:pPr>
    </w:p>
    <w:p w14:paraId="70BB44AF">
      <w:pPr>
        <w:pStyle w:val="2"/>
        <w:rPr>
          <w:color w:val="auto"/>
        </w:rPr>
      </w:pPr>
    </w:p>
    <w:p w14:paraId="1B6A9115">
      <w:pPr>
        <w:rPr>
          <w:color w:val="auto"/>
        </w:rPr>
      </w:pPr>
    </w:p>
    <w:p w14:paraId="03A5B99E">
      <w:pPr>
        <w:pStyle w:val="2"/>
        <w:rPr>
          <w:color w:val="auto"/>
        </w:rPr>
      </w:pPr>
    </w:p>
    <w:p w14:paraId="494B9D37">
      <w:pPr>
        <w:rPr>
          <w:color w:val="auto"/>
        </w:rPr>
      </w:pPr>
    </w:p>
    <w:p w14:paraId="63D3DBB2">
      <w:pPr>
        <w:pStyle w:val="2"/>
        <w:rPr>
          <w:color w:val="auto"/>
        </w:rPr>
      </w:pPr>
    </w:p>
    <w:p w14:paraId="0AE158F7">
      <w:pPr>
        <w:rPr>
          <w:color w:val="auto"/>
        </w:rPr>
      </w:pPr>
    </w:p>
    <w:p w14:paraId="662E3665">
      <w:pPr>
        <w:pStyle w:val="2"/>
        <w:rPr>
          <w:color w:val="auto"/>
        </w:rPr>
      </w:pPr>
    </w:p>
    <w:p w14:paraId="3A50FF21">
      <w:pPr>
        <w:rPr>
          <w:color w:val="auto"/>
        </w:rPr>
      </w:pPr>
    </w:p>
    <w:p w14:paraId="0C4CE51E">
      <w:pPr>
        <w:pStyle w:val="2"/>
        <w:rPr>
          <w:color w:val="auto"/>
        </w:rPr>
      </w:pPr>
    </w:p>
    <w:p w14:paraId="4030C5F5">
      <w:pPr>
        <w:rPr>
          <w:color w:val="auto"/>
        </w:rPr>
      </w:pPr>
    </w:p>
    <w:p w14:paraId="7CB92075">
      <w:pPr>
        <w:pStyle w:val="2"/>
        <w:rPr>
          <w:color w:val="auto"/>
        </w:rPr>
      </w:pPr>
    </w:p>
    <w:p w14:paraId="2AE505F5">
      <w:pPr>
        <w:rPr>
          <w:color w:val="auto"/>
        </w:rPr>
      </w:pPr>
    </w:p>
    <w:p w14:paraId="4042EBB2">
      <w:pPr>
        <w:pStyle w:val="2"/>
        <w:rPr>
          <w:color w:val="auto"/>
        </w:rPr>
      </w:pPr>
    </w:p>
    <w:p w14:paraId="5557A36A">
      <w:pPr>
        <w:rPr>
          <w:color w:val="auto"/>
        </w:rPr>
      </w:pPr>
    </w:p>
    <w:p w14:paraId="32641D2D">
      <w:pPr>
        <w:pStyle w:val="2"/>
        <w:rPr>
          <w:color w:val="auto"/>
        </w:rPr>
      </w:pPr>
    </w:p>
    <w:p w14:paraId="328B0D94">
      <w:pPr>
        <w:rPr>
          <w:color w:val="auto"/>
        </w:rPr>
      </w:pPr>
    </w:p>
    <w:p w14:paraId="1F0A721B">
      <w:pPr>
        <w:pStyle w:val="2"/>
        <w:rPr>
          <w:color w:val="auto"/>
        </w:rPr>
      </w:pPr>
    </w:p>
    <w:p w14:paraId="00926221">
      <w:pPr>
        <w:rPr>
          <w:color w:val="auto"/>
        </w:rPr>
      </w:pPr>
    </w:p>
    <w:p w14:paraId="5D088DFB">
      <w:pPr>
        <w:pStyle w:val="2"/>
        <w:rPr>
          <w:color w:val="auto"/>
        </w:rPr>
      </w:pPr>
    </w:p>
    <w:p w14:paraId="26F94ED6">
      <w:pPr>
        <w:rPr>
          <w:color w:val="auto"/>
        </w:rPr>
      </w:pPr>
    </w:p>
    <w:p w14:paraId="7654261A">
      <w:pPr>
        <w:pStyle w:val="2"/>
        <w:rPr>
          <w:color w:val="auto"/>
        </w:rPr>
      </w:pPr>
    </w:p>
    <w:p w14:paraId="65A793C8">
      <w:pPr>
        <w:spacing w:line="520" w:lineRule="exact"/>
        <w:ind w:firstLine="616" w:firstLineChars="257"/>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二、合同条款</w:t>
      </w:r>
    </w:p>
    <w:p w14:paraId="4411DAEC">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16" w:firstLineChars="257"/>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第一条 本着平等互惠、互相支持、共同发展的原则，就甲方针对本项目的事宜，经甲乙双方友好协商，共同签署本合同，以资共同遵守。 </w:t>
      </w:r>
    </w:p>
    <w:p w14:paraId="0FC5A8B0">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16" w:firstLineChars="257"/>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第二条 服务定义：根据甲方需要，乙方为甲方提供该项目的服务等业务。 </w:t>
      </w:r>
    </w:p>
    <w:p w14:paraId="5DA4E67E">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16" w:firstLineChars="257"/>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CA0C2E7">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第四条 甲方的权利</w:t>
      </w:r>
    </w:p>
    <w:p w14:paraId="3C13306E">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1、甲方有权享有乙方按照上述约定提供的服务。</w:t>
      </w:r>
    </w:p>
    <w:p w14:paraId="0FA18E51">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2CF93F5">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284D5916">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4、除本合同约定的服务费用外，乙方不得向甲方及其甲方人员收取其他任何费用，如甲方发现乙方有此类行为，甲方有权要求乙方清退所收费用，退还利息并支付违约金；</w:t>
      </w:r>
    </w:p>
    <w:p w14:paraId="0C105B44">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101C7C7D">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第五条 甲方的义务</w:t>
      </w:r>
    </w:p>
    <w:p w14:paraId="3DD39B99">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 xml:space="preserve">1、在服务实施过程中，甲方应为乙方提供必要的工作便利与指导，配合乙方履行职责。 </w:t>
      </w:r>
    </w:p>
    <w:p w14:paraId="4BA95A85">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2、甲方不得将本合同的内容向甲乙双方以外的、与签订和履行本合同无关的任何第三方透露，不得泄露乙方的商业秘密（包括本合同及其附件和合同签订前的各项方案） 。</w:t>
      </w:r>
    </w:p>
    <w:p w14:paraId="47439F84">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第六条 任何一方违反或擅自变更本合同的约定，应当承担由此给对方造成的经济损失和相关责任。</w:t>
      </w:r>
    </w:p>
    <w:p w14:paraId="187E136D">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第七条甲方违约责任</w:t>
      </w:r>
    </w:p>
    <w:p w14:paraId="631BA63A">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1、由于甲方的原因或因不可抗力的自然因素影响，则服务周期顺延。</w:t>
      </w:r>
    </w:p>
    <w:p w14:paraId="1D909046">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2、对于乙方提供的资料以及属于乙方的内容，甲方有义务保密，不得向第三方提供或用于本合同以外的项目，否则乙方有权要求甲方按本合同项目款总额的</w:t>
      </w:r>
      <w:r>
        <w:rPr>
          <w:rFonts w:hint="eastAsia" w:ascii="宋体" w:hAnsi="宋体" w:eastAsia="宋体" w:cs="宋体"/>
          <w:kern w:val="0"/>
          <w:sz w:val="24"/>
          <w:szCs w:val="24"/>
          <w:lang w:val="en-US" w:eastAsia="zh-CN"/>
        </w:rPr>
        <w:t>5</w:t>
      </w:r>
      <w:bookmarkStart w:id="9" w:name="_GoBack"/>
      <w:bookmarkEnd w:id="9"/>
      <w:r>
        <w:rPr>
          <w:rFonts w:hint="eastAsia" w:ascii="宋体" w:hAnsi="宋体" w:eastAsia="宋体" w:cs="宋体"/>
          <w:kern w:val="0"/>
          <w:sz w:val="24"/>
          <w:szCs w:val="24"/>
        </w:rPr>
        <w:t xml:space="preserve">%赔偿损失。 </w:t>
      </w:r>
    </w:p>
    <w:p w14:paraId="08466C48">
      <w:pPr>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第八条乙方违约责任</w:t>
      </w:r>
    </w:p>
    <w:p w14:paraId="4F07828E">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1、合同签订后，如乙方擅自中途停止或解除合同，乙方应向甲方双倍返还定金。没有约定定金的，乙方向甲方赔偿服务价款。</w:t>
      </w:r>
    </w:p>
    <w:p w14:paraId="61C4DAD6">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2、在甲方提供了必要的工作、生活条件，并且保证了项目款按时到位，乙方未能按合同规定的日期提供服务时，应向甲方赔偿拖期损失费，每天的拖期损失费按合同约定的项目总价款。</w:t>
      </w:r>
    </w:p>
    <w:p w14:paraId="368930AA">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 xml:space="preserve">3、因天气、交通、政府行为、甲方提供的资料不准确等客观原因造成的服务周期拖期，乙方不承担赔偿责任。 </w:t>
      </w:r>
    </w:p>
    <w:p w14:paraId="303D96B0">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CBA1DB9">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6102B1">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13B40BD">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E505AB6">
      <w:pPr>
        <w:keepNext w:val="0"/>
        <w:keepLines w:val="0"/>
        <w:pageBreakBefore w:val="0"/>
        <w:widowControl w:val="0"/>
        <w:kinsoku/>
        <w:wordWrap/>
        <w:overflowPunct w:val="0"/>
        <w:topLinePunct w:val="0"/>
        <w:bidi w:val="0"/>
        <w:spacing w:line="520" w:lineRule="exact"/>
        <w:ind w:firstLine="616" w:firstLineChars="257"/>
        <w:rPr>
          <w:rFonts w:hint="eastAsia" w:ascii="宋体" w:hAnsi="宋体" w:eastAsia="宋体" w:cs="宋体"/>
          <w:kern w:val="0"/>
          <w:sz w:val="24"/>
          <w:szCs w:val="24"/>
        </w:rPr>
      </w:pPr>
      <w:r>
        <w:rPr>
          <w:rFonts w:hint="eastAsia" w:ascii="宋体" w:hAnsi="宋体" w:eastAsia="宋体" w:cs="宋体"/>
          <w:kern w:val="0"/>
          <w:sz w:val="24"/>
          <w:szCs w:val="24"/>
        </w:rPr>
        <w:t xml:space="preserve">8、乙方不得将本项目的任何部分转包或分包给其他任何单位和个人。若擅自转包或分包本合同标的，甲方有权解除合同，并可要求乙方偿付预算30%的违约金，同时追究其法律责任。 </w:t>
      </w:r>
    </w:p>
    <w:p w14:paraId="696EE892">
      <w:pPr>
        <w:keepNext w:val="0"/>
        <w:keepLines w:val="0"/>
        <w:pageBreakBefore w:val="0"/>
        <w:widowControl w:val="0"/>
        <w:kinsoku/>
        <w:wordWrap/>
        <w:overflowPunct w:val="0"/>
        <w:topLinePunct w:val="0"/>
        <w:bidi w:val="0"/>
        <w:spacing w:line="52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31F8929">
      <w:pPr>
        <w:keepNext w:val="0"/>
        <w:keepLines w:val="0"/>
        <w:pageBreakBefore w:val="0"/>
        <w:widowControl w:val="0"/>
        <w:kinsoku/>
        <w:wordWrap/>
        <w:overflowPunct w:val="0"/>
        <w:topLinePunct w:val="0"/>
        <w:bidi w:val="0"/>
        <w:spacing w:line="52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FBAD62B">
      <w:pPr>
        <w:keepNext w:val="0"/>
        <w:keepLines w:val="0"/>
        <w:pageBreakBefore w:val="0"/>
        <w:widowControl w:val="0"/>
        <w:kinsoku/>
        <w:wordWrap/>
        <w:overflowPunct w:val="0"/>
        <w:topLinePunct w:val="0"/>
        <w:bidi w:val="0"/>
        <w:spacing w:line="52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第十一条 甲、乙双方有一方有正当理由要求变更本合同，须提前一个月以书面形式通知对方并协商解决，双方应签署变更合同。 </w:t>
      </w:r>
    </w:p>
    <w:p w14:paraId="1C13E8C3">
      <w:pPr>
        <w:keepNext w:val="0"/>
        <w:keepLines w:val="0"/>
        <w:pageBreakBefore w:val="0"/>
        <w:widowControl w:val="0"/>
        <w:kinsoku/>
        <w:wordWrap/>
        <w:overflowPunct w:val="0"/>
        <w:topLinePunct w:val="0"/>
        <w:bidi w:val="0"/>
        <w:spacing w:line="52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第十二条 本合同期满双方不再续约或者因一方违约导致本合同无法履行，则本合同终止。但合同的终止不得损害第三方的利益，双方应为此做出合理安排。 </w:t>
      </w:r>
    </w:p>
    <w:p w14:paraId="749C4EB7">
      <w:pPr>
        <w:keepNext w:val="0"/>
        <w:keepLines w:val="0"/>
        <w:pageBreakBefore w:val="0"/>
        <w:widowControl w:val="0"/>
        <w:kinsoku/>
        <w:wordWrap/>
        <w:overflowPunct w:val="0"/>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第十三条 未经对方同意，甲乙任何一方不得将本合同部分或全部权利和义务转让给第三方。</w:t>
      </w:r>
    </w:p>
    <w:p w14:paraId="76E2838B">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第十四条 本合同中涉及的所有“通知”、“同意”、“确认” 等事项均应以书面形式做出，并作为依据。</w:t>
      </w:r>
    </w:p>
    <w:p w14:paraId="4005357C">
      <w:r>
        <w:rPr>
          <w:rFonts w:hint="eastAsia" w:ascii="宋体" w:hAnsi="宋体" w:eastAsia="宋体" w:cs="宋体"/>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61E67"/>
    <w:rsid w:val="4D46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9"/>
    <w:pPr>
      <w:keepNext/>
      <w:keepLines/>
      <w:spacing w:line="360" w:lineRule="auto"/>
      <w:jc w:val="center"/>
      <w:outlineLvl w:val="0"/>
    </w:pPr>
    <w:rPr>
      <w:rFonts w:ascii="Times New Roman" w:hAnsi="Times New Roman" w:eastAsia="仿宋"/>
      <w:b/>
      <w:bCs/>
      <w:kern w:val="44"/>
      <w:sz w:val="32"/>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toa heading"/>
    <w:basedOn w:val="1"/>
    <w:next w:val="1"/>
    <w:qFormat/>
    <w:uiPriority w:val="0"/>
    <w:rPr>
      <w:rFonts w:ascii="Arial" w:hAnsi="Arial" w:cs="Arial"/>
      <w:sz w:val="24"/>
    </w:rPr>
  </w:style>
  <w:style w:type="paragraph" w:styleId="5">
    <w:name w:val="Plain Text"/>
    <w:qFormat/>
    <w:uiPriority w:val="0"/>
    <w:pPr>
      <w:widowControl w:val="0"/>
      <w:jc w:val="both"/>
    </w:pPr>
    <w:rPr>
      <w:rFonts w:ascii="宋体" w:hAnsi="Courier New"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2026-03-28T08:20:00Z</dcterms:created>
  <dc:creator>欢乐马</dc:creator>
  <cp:lastModifiedBy>欢乐马</cp:lastModifiedBy>
  <dcterms:modified xsi:type="dcterms:W3CDTF">2026-03-28T08:23:36Z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540B9216BC4A464BAEE011F0E01B4983_11</vt:lpwstr>
  </property>
  <property fmtid="{D5CDD505-2E9C-101B-9397-08002B2CF9AE}" pid="4" name="KSOTemplateDocerSaveRecord">
    <vt:lpwstr>eyJoZGlkIjoiMzEwNTM5NzYwMDRjMzkwZTVkZjY2ODkwMGIxNGU0OTUiLCJ1c2VySWQiOiI3MjI5MDIxODMifQ==</vt:lpwstr>
  </property>
</Properties>
</file>