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版本号：HYZB2026000920260331003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临潼区宅基地确权登记颁证工作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HYZB20260009</w:t>
      </w:r>
      <w:r>
        <w:br/>
      </w:r>
      <w:r>
        <w:br/>
      </w:r>
      <w:r>
        <w:br/>
      </w:r>
    </w:p>
    <w:p>
      <w:pPr>
        <w:pStyle w:val="null3"/>
        <w:jc w:val="center"/>
        <w:outlineLvl w:val="2"/>
      </w:pPr>
      <w:r>
        <w:rPr>
          <w:rFonts w:ascii="仿宋_GB2312" w:hAnsi="仿宋_GB2312" w:cs="仿宋_GB2312" w:eastAsia="仿宋_GB2312"/>
          <w:sz w:val="28"/>
          <w:b/>
        </w:rPr>
        <w:t>西安市自然资源和规划局临潼分局</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西安市自然资源和规划局临潼分局</w:t>
      </w:r>
      <w:r>
        <w:rPr>
          <w:rFonts w:ascii="仿宋_GB2312" w:hAnsi="仿宋_GB2312" w:cs="仿宋_GB2312" w:eastAsia="仿宋_GB2312"/>
        </w:rPr>
        <w:t>委托，拟对</w:t>
      </w:r>
      <w:r>
        <w:rPr>
          <w:rFonts w:ascii="仿宋_GB2312" w:hAnsi="仿宋_GB2312" w:cs="仿宋_GB2312" w:eastAsia="仿宋_GB2312"/>
        </w:rPr>
        <w:t>临潼区宅基地确权登记颁证工作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临潼区宅基地确权登记颁证工作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保障临潼区农村“房地一体”宅基地确权登记颁证工作顺利推进，如期完成2027年底前颁证到户的上级部署任务。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采购包1（临潼区宅基地确权登记颁证工作）：属于专门面向中小企业采购。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②、税收缴纳证明：提供自2025年3月1日至投标截止日已缴纳的任意一个月的纳税证明或完税证明，依法免税的单位应提供相关证明材料； ③、社会保障资金缴纳证明：提供自2025年3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4、供应商资格要求：供应商须具备行政主管部门颁发的测绘乙级及以上资质；</w:t>
      </w:r>
    </w:p>
    <w:p>
      <w:pPr>
        <w:pStyle w:val="null3"/>
      </w:pPr>
      <w:r>
        <w:rPr>
          <w:rFonts w:ascii="仿宋_GB2312" w:hAnsi="仿宋_GB2312" w:cs="仿宋_GB2312" w:eastAsia="仿宋_GB2312"/>
        </w:rPr>
        <w:t>5、项目负责人：拟派项目负责人须具有测绘类相关专业中级及以上职称证书。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西安市自然资源和规划局临潼分局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临潼区秦陵南路36号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西安市自然资源和规划局临潼分局经办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029-65609017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西安市自然资源和规划局临潼分局</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西安市自然资源和规划局临潼分局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西安市自然资源和规划局临潼分局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地址：陕西省西安市临潼区文化西路37号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保障临潼区农村“房地一体”宅基地确权登记颁证工作顺利推进，如期完成2027年底前颁证到户的上级部署任务。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3,750,000.00</w:t>
      </w:r>
    </w:p>
    <w:p>
      <w:pPr>
        <w:pStyle w:val="null3"/>
      </w:pPr>
      <w:r>
        <w:rPr>
          <w:rFonts w:ascii="仿宋_GB2312" w:hAnsi="仿宋_GB2312" w:cs="仿宋_GB2312" w:eastAsia="仿宋_GB2312"/>
        </w:rPr>
        <w:t>采购包最高限价（元）: 3,750,000.00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临潼区宅基地确权登记颁证工作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标的名称：临潼区宅基地确权登记颁证工作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30"/>
                <w:b/>
                <w:color w:val="000000"/>
              </w:rPr>
              <w:t>一、</w:t>
            </w:r>
            <w:r>
              <w:rPr>
                <w:rFonts w:ascii="仿宋_GB2312" w:hAnsi="仿宋_GB2312" w:cs="仿宋_GB2312" w:eastAsia="仿宋_GB2312"/>
                <w:sz w:val="30"/>
                <w:b/>
                <w:color w:val="000000"/>
              </w:rPr>
              <w:t>项目概况</w:t>
            </w:r>
          </w:p>
          <w:p>
            <w:pPr>
              <w:pStyle w:val="null3"/>
              <w:ind w:firstLine="600"/>
            </w:pPr>
            <w:r>
              <w:rPr>
                <w:rFonts w:ascii="仿宋_GB2312" w:hAnsi="仿宋_GB2312" w:cs="仿宋_GB2312" w:eastAsia="仿宋_GB2312"/>
                <w:sz w:val="30"/>
                <w:color w:val="000000"/>
              </w:rPr>
              <w:t>党中央、国务院高度重视宅基地和集体建设用地使用权确权登记工作。</w:t>
            </w:r>
            <w:r>
              <w:rPr>
                <w:rFonts w:ascii="仿宋_GB2312" w:hAnsi="仿宋_GB2312" w:cs="仿宋_GB2312" w:eastAsia="仿宋_GB2312"/>
                <w:sz w:val="30"/>
                <w:color w:val="000000"/>
              </w:rPr>
              <w:t>2010年以来，中央1号文件多次对宅基地和集体建设用地使用权确权登记工作作出部署和要求。近年来，部、省、市相关文件对宅基地和集体建设用地使用权确权登记工作也不断出台相关文件，督促和要求“扎实推进宅基地和集体建设用地使用权确权登记颁证”。</w:t>
            </w:r>
          </w:p>
          <w:p>
            <w:pPr>
              <w:pStyle w:val="null3"/>
            </w:pPr>
            <w:r>
              <w:rPr>
                <w:rFonts w:ascii="仿宋_GB2312" w:hAnsi="仿宋_GB2312" w:cs="仿宋_GB2312" w:eastAsia="仿宋_GB2312"/>
                <w:sz w:val="30"/>
                <w:color w:val="000000"/>
              </w:rPr>
              <w:t xml:space="preserve">    </w:t>
            </w:r>
            <w:r>
              <w:rPr>
                <w:rFonts w:ascii="仿宋_GB2312" w:hAnsi="仿宋_GB2312" w:cs="仿宋_GB2312" w:eastAsia="仿宋_GB2312"/>
                <w:sz w:val="30"/>
                <w:color w:val="000000"/>
              </w:rPr>
              <w:t>2020年以来，自然资源部先后印发《关于加快宅基地和集体建设用地使用权确权登记工作的通知》(自然资发[2020]84号)、《关于持续推进农村房地一体宅基地确权登记颁证工作的通知》(自然资发[2023]109号)，要求宅基地应登尽登，实现房地一体登记数据汇交全覆盖，将农村宅基地确权登记成果汇交至国家级不动产登记信息管理基础平台。</w:t>
            </w:r>
          </w:p>
          <w:p>
            <w:pPr>
              <w:pStyle w:val="null3"/>
              <w:ind w:firstLine="600"/>
            </w:pPr>
            <w:r>
              <w:rPr>
                <w:rFonts w:ascii="仿宋_GB2312" w:hAnsi="仿宋_GB2312" w:cs="仿宋_GB2312" w:eastAsia="仿宋_GB2312"/>
                <w:sz w:val="30"/>
                <w:color w:val="000000"/>
              </w:rPr>
              <w:t>陕西省自然资源厅《关于组织开展房地一体宅基地确权登记颁证成果省级核查工作的通知》</w:t>
            </w:r>
            <w:r>
              <w:rPr>
                <w:rFonts w:ascii="仿宋_GB2312" w:hAnsi="仿宋_GB2312" w:cs="仿宋_GB2312" w:eastAsia="仿宋_GB2312"/>
                <w:sz w:val="30"/>
                <w:color w:val="000000"/>
              </w:rPr>
              <w:t>(陕自然资登发[2024]3号)、西安市自然资源和规划局《关于开展全市房地一体确权登记数据汇交工作的通知》，要求房地一体确权登记成果汇交到部省的比率、房地一体登记率均需达到90%以上。按照省市要求，临潼区宅基地调查约16万宗，计划发证15万宗，任务量大，急需开展宅基地登记发证工作。</w:t>
            </w:r>
          </w:p>
          <w:p>
            <w:pPr>
              <w:pStyle w:val="null3"/>
              <w:outlineLvl w:val="1"/>
            </w:pPr>
            <w:r>
              <w:rPr>
                <w:rFonts w:ascii="仿宋_GB2312" w:hAnsi="仿宋_GB2312" w:cs="仿宋_GB2312" w:eastAsia="仿宋_GB2312"/>
                <w:sz w:val="30"/>
                <w:b/>
                <w:color w:val="000000"/>
              </w:rPr>
              <w:t>二、</w:t>
            </w:r>
            <w:r>
              <w:rPr>
                <w:rFonts w:ascii="仿宋_GB2312" w:hAnsi="仿宋_GB2312" w:cs="仿宋_GB2312" w:eastAsia="仿宋_GB2312"/>
                <w:sz w:val="30"/>
                <w:b/>
                <w:color w:val="000000"/>
              </w:rPr>
              <w:t>服务内容</w:t>
            </w:r>
          </w:p>
          <w:p>
            <w:pPr>
              <w:pStyle w:val="null3"/>
              <w:ind w:firstLine="600"/>
            </w:pPr>
            <w:r>
              <w:rPr>
                <w:rFonts w:ascii="仿宋_GB2312" w:hAnsi="仿宋_GB2312" w:cs="仿宋_GB2312" w:eastAsia="仿宋_GB2312"/>
                <w:sz w:val="30"/>
                <w:color w:val="000000"/>
              </w:rPr>
              <w:t>根据农村房地一体宅基地和集体建设用地确权登记颁证流程，确定本次工作内容主要包括：</w:t>
            </w:r>
          </w:p>
          <w:tbl>
            <w:tblPr>
              <w:tblBorders>
                <w:top w:val="none" w:color="000000" w:sz="4"/>
                <w:left w:val="none" w:color="000000" w:sz="4"/>
                <w:bottom w:val="none" w:color="000000" w:sz="4"/>
                <w:right w:val="none" w:color="000000" w:sz="4"/>
                <w:insideH w:val="none"/>
                <w:insideV w:val="none"/>
              </w:tblBorders>
            </w:tblPr>
            <w:tblGrid>
              <w:gridCol w:w="145"/>
              <w:gridCol w:w="330"/>
              <w:gridCol w:w="420"/>
              <w:gridCol w:w="705"/>
              <w:gridCol w:w="438"/>
              <w:gridCol w:w="515"/>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color w:val="000000"/>
                    </w:rPr>
                    <w:t>序号</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color w:val="000000"/>
                    </w:rPr>
                    <w:t>行政区域</w:t>
                  </w:r>
                </w:p>
              </w:tc>
              <w:tc>
                <w:tcPr>
                  <w:tcW w:type="dxa" w:w="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color w:val="000000"/>
                    </w:rPr>
                    <w:t>宗地数量（约）</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color w:val="000000"/>
                    </w:rPr>
                    <w:t>工作内容</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color w:val="000000"/>
                    </w:rPr>
                    <w:t>限价</w:t>
                  </w:r>
                  <w:r>
                    <w:rPr>
                      <w:rFonts w:ascii="仿宋_GB2312" w:hAnsi="仿宋_GB2312" w:cs="仿宋_GB2312" w:eastAsia="仿宋_GB2312"/>
                      <w:sz w:val="30"/>
                      <w:color w:val="000000"/>
                    </w:rPr>
                    <w:t xml:space="preserve">  </w:t>
                  </w:r>
                  <w:r>
                    <w:rPr>
                      <w:rFonts w:ascii="仿宋_GB2312" w:hAnsi="仿宋_GB2312" w:cs="仿宋_GB2312" w:eastAsia="仿宋_GB2312"/>
                      <w:sz w:val="30"/>
                      <w:color w:val="000000"/>
                    </w:rPr>
                    <w:t>（</w:t>
                  </w:r>
                  <w:r>
                    <w:rPr>
                      <w:rFonts w:ascii="仿宋_GB2312" w:hAnsi="仿宋_GB2312" w:cs="仿宋_GB2312" w:eastAsia="仿宋_GB2312"/>
                      <w:sz w:val="30"/>
                      <w:color w:val="000000"/>
                    </w:rPr>
                    <w:t>元/宗）</w:t>
                  </w:r>
                </w:p>
              </w:tc>
              <w:tc>
                <w:tcPr>
                  <w:tcW w:type="dxa" w:w="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color w:val="000000"/>
                    </w:rPr>
                    <w:t>合计（元）</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color w:val="00000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color w:val="000000"/>
                    </w:rPr>
                    <w:t>临潼区全域</w:t>
                  </w:r>
                </w:p>
              </w:tc>
              <w:tc>
                <w:tcPr>
                  <w:tcW w:type="dxa" w:w="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color w:val="000000"/>
                    </w:rPr>
                    <w:t>15万</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color w:val="000000"/>
                    </w:rPr>
                    <w:t>1</w:t>
                  </w:r>
                  <w:r>
                    <w:rPr>
                      <w:rFonts w:ascii="仿宋_GB2312" w:hAnsi="仿宋_GB2312" w:cs="仿宋_GB2312" w:eastAsia="仿宋_GB2312"/>
                      <w:sz w:val="30"/>
                      <w:color w:val="000000"/>
                    </w:rPr>
                    <w:t>、收件：对权籍档案资料进行收集，检查成果档案是否按照系统要求进行归档整理，将相关扫描件及信息进行录入；</w:t>
                  </w:r>
                </w:p>
                <w:p>
                  <w:pPr>
                    <w:pStyle w:val="null3"/>
                    <w:jc w:val="both"/>
                  </w:pPr>
                  <w:r>
                    <w:rPr>
                      <w:rFonts w:ascii="仿宋_GB2312" w:hAnsi="仿宋_GB2312" w:cs="仿宋_GB2312" w:eastAsia="仿宋_GB2312"/>
                      <w:sz w:val="30"/>
                      <w:color w:val="000000"/>
                    </w:rPr>
                    <w:t>2</w:t>
                  </w:r>
                  <w:r>
                    <w:rPr>
                      <w:rFonts w:ascii="仿宋_GB2312" w:hAnsi="仿宋_GB2312" w:cs="仿宋_GB2312" w:eastAsia="仿宋_GB2312"/>
                      <w:sz w:val="30"/>
                      <w:color w:val="000000"/>
                    </w:rPr>
                    <w:t>、登记信息录入：对收件后检查没有问题的材料，进行登记信息录入，完善登记资料；</w:t>
                  </w:r>
                </w:p>
                <w:p>
                  <w:pPr>
                    <w:pStyle w:val="null3"/>
                    <w:jc w:val="both"/>
                  </w:pPr>
                  <w:r>
                    <w:rPr>
                      <w:rFonts w:ascii="仿宋_GB2312" w:hAnsi="仿宋_GB2312" w:cs="仿宋_GB2312" w:eastAsia="仿宋_GB2312"/>
                      <w:sz w:val="30"/>
                      <w:color w:val="000000"/>
                    </w:rPr>
                    <w:t>3</w:t>
                  </w:r>
                  <w:r>
                    <w:rPr>
                      <w:rFonts w:ascii="仿宋_GB2312" w:hAnsi="仿宋_GB2312" w:cs="仿宋_GB2312" w:eastAsia="仿宋_GB2312"/>
                      <w:sz w:val="30"/>
                      <w:color w:val="000000"/>
                    </w:rPr>
                    <w:t>、初审：对成果档案中权源资料等进行初步审核，对存在问题的或不符合资料提交要求的做好记录打回权籍调查单位中进行修改</w:t>
                  </w:r>
                  <w:r>
                    <w:rPr>
                      <w:rFonts w:ascii="仿宋_GB2312" w:hAnsi="仿宋_GB2312" w:cs="仿宋_GB2312" w:eastAsia="仿宋_GB2312"/>
                      <w:sz w:val="30"/>
                      <w:color w:val="000000"/>
                    </w:rPr>
                    <w:t>。</w:t>
                  </w:r>
                </w:p>
                <w:p>
                  <w:pPr>
                    <w:pStyle w:val="null3"/>
                    <w:jc w:val="both"/>
                  </w:pPr>
                  <w:r>
                    <w:rPr>
                      <w:rFonts w:ascii="仿宋_GB2312" w:hAnsi="仿宋_GB2312" w:cs="仿宋_GB2312" w:eastAsia="仿宋_GB2312"/>
                      <w:sz w:val="30"/>
                      <w:color w:val="000000"/>
                    </w:rPr>
                    <w:t>4</w:t>
                  </w:r>
                  <w:r>
                    <w:rPr>
                      <w:rFonts w:ascii="仿宋_GB2312" w:hAnsi="仿宋_GB2312" w:cs="仿宋_GB2312" w:eastAsia="仿宋_GB2312"/>
                      <w:sz w:val="30"/>
                      <w:color w:val="000000"/>
                    </w:rPr>
                    <w:t>、复审：由专业技术人员对登记档案进行复审，复审没有问题的推送下一步开展登簿业务；</w:t>
                  </w:r>
                </w:p>
                <w:p>
                  <w:pPr>
                    <w:pStyle w:val="null3"/>
                    <w:jc w:val="both"/>
                  </w:pPr>
                  <w:r>
                    <w:rPr>
                      <w:rFonts w:ascii="仿宋_GB2312" w:hAnsi="仿宋_GB2312" w:cs="仿宋_GB2312" w:eastAsia="仿宋_GB2312"/>
                      <w:sz w:val="30"/>
                      <w:color w:val="000000"/>
                    </w:rPr>
                    <w:t>5</w:t>
                  </w:r>
                  <w:r>
                    <w:rPr>
                      <w:rFonts w:ascii="仿宋_GB2312" w:hAnsi="仿宋_GB2312" w:cs="仿宋_GB2312" w:eastAsia="仿宋_GB2312"/>
                      <w:sz w:val="30"/>
                      <w:color w:val="000000"/>
                    </w:rPr>
                    <w:t>、登簿：由不动产登记中心对已审核资料进行登簿处理。</w:t>
                  </w:r>
                </w:p>
                <w:p>
                  <w:pPr>
                    <w:pStyle w:val="null3"/>
                    <w:jc w:val="both"/>
                  </w:pPr>
                  <w:r>
                    <w:rPr>
                      <w:rFonts w:ascii="仿宋_GB2312" w:hAnsi="仿宋_GB2312" w:cs="仿宋_GB2312" w:eastAsia="仿宋_GB2312"/>
                      <w:sz w:val="30"/>
                      <w:color w:val="000000"/>
                    </w:rPr>
                    <w:t>6</w:t>
                  </w:r>
                  <w:r>
                    <w:rPr>
                      <w:rFonts w:ascii="仿宋_GB2312" w:hAnsi="仿宋_GB2312" w:cs="仿宋_GB2312" w:eastAsia="仿宋_GB2312"/>
                      <w:sz w:val="30"/>
                      <w:color w:val="000000"/>
                    </w:rPr>
                    <w:t>、善证：对于登簿后的宅基地或集体建设用地进行证书打印、图件张贴及盖章等工作；</w:t>
                  </w:r>
                </w:p>
                <w:p>
                  <w:pPr>
                    <w:pStyle w:val="null3"/>
                    <w:jc w:val="both"/>
                  </w:pPr>
                  <w:r>
                    <w:rPr>
                      <w:rFonts w:ascii="仿宋_GB2312" w:hAnsi="仿宋_GB2312" w:cs="仿宋_GB2312" w:eastAsia="仿宋_GB2312"/>
                      <w:sz w:val="30"/>
                      <w:color w:val="000000"/>
                    </w:rPr>
                    <w:t>7</w:t>
                  </w:r>
                  <w:r>
                    <w:rPr>
                      <w:rFonts w:ascii="仿宋_GB2312" w:hAnsi="仿宋_GB2312" w:cs="仿宋_GB2312" w:eastAsia="仿宋_GB2312"/>
                      <w:sz w:val="30"/>
                      <w:color w:val="000000"/>
                    </w:rPr>
                    <w:t>、资料归档：配合不动产登记局对审核通过的成果资料进行归档。</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color w:val="000000"/>
                    </w:rPr>
                    <w:t>25</w:t>
                  </w:r>
                </w:p>
              </w:tc>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color w:val="000000"/>
                    </w:rPr>
                    <w:t>3750000.00</w:t>
                  </w:r>
                </w:p>
              </w:tc>
            </w:tr>
          </w:tbl>
          <w:p>
            <w:pPr>
              <w:pStyle w:val="null3"/>
              <w:outlineLvl w:val="1"/>
            </w:pPr>
            <w:r>
              <w:rPr>
                <w:rFonts w:ascii="仿宋_GB2312" w:hAnsi="仿宋_GB2312" w:cs="仿宋_GB2312" w:eastAsia="仿宋_GB2312"/>
                <w:sz w:val="30"/>
                <w:b/>
                <w:color w:val="000000"/>
              </w:rPr>
              <w:t>三、</w:t>
            </w:r>
            <w:r>
              <w:rPr>
                <w:rFonts w:ascii="仿宋_GB2312" w:hAnsi="仿宋_GB2312" w:cs="仿宋_GB2312" w:eastAsia="仿宋_GB2312"/>
                <w:sz w:val="30"/>
                <w:b/>
                <w:color w:val="000000"/>
              </w:rPr>
              <w:t>工作依据</w:t>
            </w:r>
          </w:p>
          <w:p>
            <w:pPr>
              <w:pStyle w:val="null3"/>
              <w:ind w:firstLine="600"/>
            </w:pPr>
            <w:r>
              <w:rPr>
                <w:rFonts w:ascii="仿宋_GB2312" w:hAnsi="仿宋_GB2312" w:cs="仿宋_GB2312" w:eastAsia="仿宋_GB2312"/>
                <w:sz w:val="30"/>
                <w:color w:val="000000"/>
              </w:rPr>
              <w:t>1、</w:t>
            </w:r>
            <w:r>
              <w:rPr>
                <w:rFonts w:ascii="仿宋_GB2312" w:hAnsi="仿宋_GB2312" w:cs="仿宋_GB2312" w:eastAsia="仿宋_GB2312"/>
                <w:sz w:val="30"/>
                <w:color w:val="000000"/>
              </w:rPr>
              <w:t>《中华人民共和国民法典》</w:t>
            </w:r>
            <w:r>
              <w:rPr>
                <w:rFonts w:ascii="仿宋_GB2312" w:hAnsi="仿宋_GB2312" w:cs="仿宋_GB2312" w:eastAsia="仿宋_GB2312"/>
                <w:sz w:val="30"/>
                <w:color w:val="000000"/>
              </w:rPr>
              <w:t>；</w:t>
            </w:r>
          </w:p>
          <w:p>
            <w:pPr>
              <w:pStyle w:val="null3"/>
              <w:ind w:firstLine="600"/>
            </w:pPr>
            <w:r>
              <w:rPr>
                <w:rFonts w:ascii="仿宋_GB2312" w:hAnsi="仿宋_GB2312" w:cs="仿宋_GB2312" w:eastAsia="仿宋_GB2312"/>
                <w:sz w:val="30"/>
                <w:color w:val="000000"/>
              </w:rPr>
              <w:t>2、</w:t>
            </w:r>
            <w:r>
              <w:rPr>
                <w:rFonts w:ascii="仿宋_GB2312" w:hAnsi="仿宋_GB2312" w:cs="仿宋_GB2312" w:eastAsia="仿宋_GB2312"/>
                <w:sz w:val="30"/>
                <w:color w:val="000000"/>
              </w:rPr>
              <w:t>《不动产登记暂行条例》（</w:t>
            </w:r>
            <w:r>
              <w:rPr>
                <w:rFonts w:ascii="仿宋_GB2312" w:hAnsi="仿宋_GB2312" w:cs="仿宋_GB2312" w:eastAsia="仿宋_GB2312"/>
                <w:sz w:val="30"/>
                <w:color w:val="000000"/>
              </w:rPr>
              <w:t>2024 年修订版）</w:t>
            </w:r>
            <w:r>
              <w:rPr>
                <w:rFonts w:ascii="仿宋_GB2312" w:hAnsi="仿宋_GB2312" w:cs="仿宋_GB2312" w:eastAsia="仿宋_GB2312"/>
                <w:sz w:val="30"/>
                <w:color w:val="000000"/>
              </w:rPr>
              <w:t>；</w:t>
            </w:r>
          </w:p>
          <w:p>
            <w:pPr>
              <w:pStyle w:val="null3"/>
              <w:ind w:firstLine="600"/>
            </w:pPr>
            <w:r>
              <w:rPr>
                <w:rFonts w:ascii="仿宋_GB2312" w:hAnsi="仿宋_GB2312" w:cs="仿宋_GB2312" w:eastAsia="仿宋_GB2312"/>
                <w:sz w:val="30"/>
                <w:color w:val="000000"/>
              </w:rPr>
              <w:t>3、</w:t>
            </w:r>
            <w:r>
              <w:rPr>
                <w:rFonts w:ascii="仿宋_GB2312" w:hAnsi="仿宋_GB2312" w:cs="仿宋_GB2312" w:eastAsia="仿宋_GB2312"/>
                <w:sz w:val="30"/>
                <w:color w:val="000000"/>
              </w:rPr>
              <w:t>《不动产登记暂行条例实施细则》（</w:t>
            </w:r>
            <w:r>
              <w:rPr>
                <w:rFonts w:ascii="仿宋_GB2312" w:hAnsi="仿宋_GB2312" w:cs="仿宋_GB2312" w:eastAsia="仿宋_GB2312"/>
                <w:sz w:val="30"/>
                <w:color w:val="000000"/>
              </w:rPr>
              <w:t>2024 年修订版）</w:t>
            </w:r>
            <w:r>
              <w:rPr>
                <w:rFonts w:ascii="仿宋_GB2312" w:hAnsi="仿宋_GB2312" w:cs="仿宋_GB2312" w:eastAsia="仿宋_GB2312"/>
                <w:sz w:val="30"/>
                <w:color w:val="000000"/>
              </w:rPr>
              <w:t>；</w:t>
            </w:r>
          </w:p>
          <w:p>
            <w:pPr>
              <w:pStyle w:val="null3"/>
              <w:ind w:firstLine="600"/>
            </w:pPr>
            <w:r>
              <w:rPr>
                <w:rFonts w:ascii="仿宋_GB2312" w:hAnsi="仿宋_GB2312" w:cs="仿宋_GB2312" w:eastAsia="仿宋_GB2312"/>
                <w:sz w:val="30"/>
                <w:color w:val="000000"/>
              </w:rPr>
              <w:t>4、</w:t>
            </w:r>
            <w:r>
              <w:rPr>
                <w:rFonts w:ascii="仿宋_GB2312" w:hAnsi="仿宋_GB2312" w:cs="仿宋_GB2312" w:eastAsia="仿宋_GB2312"/>
                <w:sz w:val="30"/>
                <w:color w:val="000000"/>
              </w:rPr>
              <w:t>《不动产登记操作规范（试行）》</w:t>
            </w:r>
            <w:r>
              <w:rPr>
                <w:rFonts w:ascii="仿宋_GB2312" w:hAnsi="仿宋_GB2312" w:cs="仿宋_GB2312" w:eastAsia="仿宋_GB2312"/>
                <w:sz w:val="30"/>
                <w:color w:val="000000"/>
              </w:rPr>
              <w:t>；</w:t>
            </w:r>
          </w:p>
          <w:p>
            <w:pPr>
              <w:pStyle w:val="null3"/>
              <w:ind w:firstLine="600"/>
            </w:pPr>
            <w:r>
              <w:rPr>
                <w:rFonts w:ascii="仿宋_GB2312" w:hAnsi="仿宋_GB2312" w:cs="仿宋_GB2312" w:eastAsia="仿宋_GB2312"/>
                <w:sz w:val="30"/>
                <w:color w:val="000000"/>
              </w:rPr>
              <w:t>5、</w:t>
            </w:r>
            <w:r>
              <w:rPr>
                <w:rFonts w:ascii="仿宋_GB2312" w:hAnsi="仿宋_GB2312" w:cs="仿宋_GB2312" w:eastAsia="仿宋_GB2312"/>
                <w:sz w:val="30"/>
                <w:color w:val="000000"/>
              </w:rPr>
              <w:t>《不动产单元设定与代码编制规则》（</w:t>
            </w:r>
            <w:r>
              <w:rPr>
                <w:rFonts w:ascii="仿宋_GB2312" w:hAnsi="仿宋_GB2312" w:cs="仿宋_GB2312" w:eastAsia="仿宋_GB2312"/>
                <w:sz w:val="30"/>
                <w:color w:val="000000"/>
              </w:rPr>
              <w:t>GB/T 37346-2019）</w:t>
            </w:r>
            <w:r>
              <w:rPr>
                <w:rFonts w:ascii="仿宋_GB2312" w:hAnsi="仿宋_GB2312" w:cs="仿宋_GB2312" w:eastAsia="仿宋_GB2312"/>
                <w:sz w:val="30"/>
                <w:color w:val="000000"/>
              </w:rPr>
              <w:t>；</w:t>
            </w:r>
          </w:p>
          <w:p>
            <w:pPr>
              <w:pStyle w:val="null3"/>
              <w:ind w:firstLine="560"/>
            </w:pPr>
            <w:r>
              <w:rPr>
                <w:rFonts w:ascii="仿宋_GB2312" w:hAnsi="仿宋_GB2312" w:cs="仿宋_GB2312" w:eastAsia="仿宋_GB2312"/>
                <w:sz w:val="30"/>
                <w:color w:val="000000"/>
              </w:rPr>
              <w:t>6、国土资源部关于进一步加快宅基地和集体建设用地确权登记发证有关问题的通知（国土资发〔2016〕191号）；</w:t>
            </w:r>
          </w:p>
          <w:p>
            <w:pPr>
              <w:pStyle w:val="null3"/>
              <w:ind w:firstLine="600"/>
            </w:pPr>
            <w:r>
              <w:rPr>
                <w:rFonts w:ascii="仿宋_GB2312" w:hAnsi="仿宋_GB2312" w:cs="仿宋_GB2312" w:eastAsia="仿宋_GB2312"/>
                <w:sz w:val="30"/>
                <w:color w:val="000000"/>
              </w:rPr>
              <w:t>7、自然资源确权登记局关于进一步做好农村不动产确权登记工作的通知（自然资登记函〔2019〕6号）；</w:t>
            </w:r>
          </w:p>
          <w:p>
            <w:pPr>
              <w:pStyle w:val="null3"/>
              <w:ind w:firstLine="560"/>
            </w:pPr>
            <w:r>
              <w:rPr>
                <w:rFonts w:ascii="仿宋_GB2312" w:hAnsi="仿宋_GB2312" w:cs="仿宋_GB2312" w:eastAsia="仿宋_GB2312"/>
                <w:sz w:val="30"/>
                <w:color w:val="000000"/>
              </w:rPr>
              <w:t>8、自然资源部办公厅关于印发《宅基地和集体建设用地使用权确权登记工作问答》的函（自然资办函〔2020〕1344号）；</w:t>
            </w:r>
          </w:p>
          <w:p>
            <w:pPr>
              <w:pStyle w:val="null3"/>
              <w:ind w:firstLine="600"/>
            </w:pPr>
            <w:r>
              <w:rPr>
                <w:rFonts w:ascii="仿宋_GB2312" w:hAnsi="仿宋_GB2312" w:cs="仿宋_GB2312" w:eastAsia="仿宋_GB2312"/>
                <w:sz w:val="30"/>
                <w:color w:val="000000"/>
              </w:rPr>
              <w:t>9、自然资源部关于加快宅基地和集体建设用地使用权确权登记工作的通知（自然资发〔2020〕84号）；</w:t>
            </w:r>
          </w:p>
          <w:p>
            <w:pPr>
              <w:pStyle w:val="null3"/>
              <w:ind w:firstLine="560"/>
            </w:pPr>
            <w:r>
              <w:rPr>
                <w:rFonts w:ascii="仿宋_GB2312" w:hAnsi="仿宋_GB2312" w:cs="仿宋_GB2312" w:eastAsia="仿宋_GB2312"/>
                <w:sz w:val="30"/>
                <w:color w:val="000000"/>
              </w:rPr>
              <w:t>10、陕西省自然资源厅《关于进一步加快“房地一体”宅基地和集体建设用地确权登记发证工作的通知》</w:t>
            </w:r>
            <w:r>
              <w:rPr>
                <w:rFonts w:ascii="仿宋_GB2312" w:hAnsi="仿宋_GB2312" w:cs="仿宋_GB2312" w:eastAsia="仿宋_GB2312"/>
                <w:sz w:val="30"/>
                <w:color w:val="000000"/>
              </w:rPr>
              <w:t>（</w:t>
            </w:r>
            <w:r>
              <w:rPr>
                <w:rFonts w:ascii="仿宋_GB2312" w:hAnsi="仿宋_GB2312" w:cs="仿宋_GB2312" w:eastAsia="仿宋_GB2312"/>
                <w:sz w:val="30"/>
                <w:color w:val="000000"/>
              </w:rPr>
              <w:t>陕自然资办发〔</w:t>
            </w:r>
            <w:r>
              <w:rPr>
                <w:rFonts w:ascii="仿宋_GB2312" w:hAnsi="仿宋_GB2312" w:cs="仿宋_GB2312" w:eastAsia="仿宋_GB2312"/>
                <w:sz w:val="30"/>
                <w:color w:val="000000"/>
              </w:rPr>
              <w:t>201</w:t>
            </w:r>
            <w:r>
              <w:rPr>
                <w:rFonts w:ascii="仿宋_GB2312" w:hAnsi="仿宋_GB2312" w:cs="仿宋_GB2312" w:eastAsia="仿宋_GB2312"/>
                <w:sz w:val="30"/>
                <w:color w:val="000000"/>
              </w:rPr>
              <w:t>9〕</w:t>
            </w:r>
            <w:r>
              <w:rPr>
                <w:rFonts w:ascii="仿宋_GB2312" w:hAnsi="仿宋_GB2312" w:cs="仿宋_GB2312" w:eastAsia="仿宋_GB2312"/>
                <w:sz w:val="30"/>
                <w:color w:val="000000"/>
              </w:rPr>
              <w:t>4</w:t>
            </w:r>
            <w:r>
              <w:rPr>
                <w:rFonts w:ascii="仿宋_GB2312" w:hAnsi="仿宋_GB2312" w:cs="仿宋_GB2312" w:eastAsia="仿宋_GB2312"/>
                <w:sz w:val="30"/>
                <w:color w:val="000000"/>
              </w:rPr>
              <w:t>2</w:t>
            </w:r>
            <w:r>
              <w:rPr>
                <w:rFonts w:ascii="仿宋_GB2312" w:hAnsi="仿宋_GB2312" w:cs="仿宋_GB2312" w:eastAsia="仿宋_GB2312"/>
                <w:sz w:val="30"/>
                <w:color w:val="000000"/>
              </w:rPr>
              <w:t>号）</w:t>
            </w:r>
            <w:r>
              <w:rPr>
                <w:rFonts w:ascii="仿宋_GB2312" w:hAnsi="仿宋_GB2312" w:cs="仿宋_GB2312" w:eastAsia="仿宋_GB2312"/>
                <w:sz w:val="30"/>
                <w:color w:val="000000"/>
              </w:rPr>
              <w:t>；</w:t>
            </w:r>
          </w:p>
          <w:p>
            <w:pPr>
              <w:pStyle w:val="null3"/>
              <w:ind w:firstLine="560"/>
            </w:pPr>
            <w:r>
              <w:rPr>
                <w:rFonts w:ascii="仿宋_GB2312" w:hAnsi="仿宋_GB2312" w:cs="仿宋_GB2312" w:eastAsia="仿宋_GB2312"/>
                <w:sz w:val="30"/>
                <w:color w:val="000000"/>
              </w:rPr>
              <w:t>1</w:t>
            </w:r>
            <w:r>
              <w:rPr>
                <w:rFonts w:ascii="仿宋_GB2312" w:hAnsi="仿宋_GB2312" w:cs="仿宋_GB2312" w:eastAsia="仿宋_GB2312"/>
                <w:sz w:val="30"/>
                <w:color w:val="000000"/>
              </w:rPr>
              <w:t>1、陕西省自然资源厅关于印发《陕西省农村不动产登记发证工作方案》的通知（陕自然资办发〔2019〕75号）；</w:t>
            </w:r>
          </w:p>
          <w:p>
            <w:pPr>
              <w:pStyle w:val="null3"/>
              <w:ind w:firstLine="560"/>
            </w:pPr>
            <w:r>
              <w:rPr>
                <w:rFonts w:ascii="仿宋_GB2312" w:hAnsi="仿宋_GB2312" w:cs="仿宋_GB2312" w:eastAsia="仿宋_GB2312"/>
                <w:sz w:val="30"/>
                <w:color w:val="000000"/>
              </w:rPr>
              <w:t>12、西安市人民政府办公厅转发市资源规划局关于《农村宅基地和集体建设用地确权登记工作方案的通知》（市政办函〔2020〕84号）。</w:t>
            </w:r>
          </w:p>
          <w:p>
            <w:pPr>
              <w:pStyle w:val="null3"/>
              <w:ind w:firstLine="560"/>
            </w:pPr>
            <w:r>
              <w:rPr>
                <w:rFonts w:ascii="仿宋_GB2312" w:hAnsi="仿宋_GB2312" w:cs="仿宋_GB2312" w:eastAsia="仿宋_GB2312"/>
                <w:sz w:val="30"/>
                <w:color w:val="000000"/>
              </w:rPr>
              <w:t>13、《测绘成果质量检查与验收》（GB/T 24356-2009）；</w:t>
            </w:r>
          </w:p>
          <w:p>
            <w:pPr>
              <w:pStyle w:val="null3"/>
              <w:ind w:firstLine="560"/>
            </w:pPr>
            <w:r>
              <w:rPr>
                <w:rFonts w:ascii="仿宋_GB2312" w:hAnsi="仿宋_GB2312" w:cs="仿宋_GB2312" w:eastAsia="仿宋_GB2312"/>
                <w:sz w:val="30"/>
                <w:color w:val="000000"/>
              </w:rPr>
              <w:t>14、《地籍调查规程》（TD/T 1001—2012）；</w:t>
            </w:r>
          </w:p>
          <w:p>
            <w:pPr>
              <w:pStyle w:val="null3"/>
              <w:ind w:firstLine="560"/>
            </w:pPr>
            <w:r>
              <w:rPr>
                <w:rFonts w:ascii="仿宋_GB2312" w:hAnsi="仿宋_GB2312" w:cs="仿宋_GB2312" w:eastAsia="仿宋_GB2312"/>
                <w:sz w:val="30"/>
                <w:color w:val="000000"/>
              </w:rPr>
              <w:t>15、《房产测量规范》（GB/T 17986—2000）；</w:t>
            </w:r>
          </w:p>
          <w:p>
            <w:pPr>
              <w:pStyle w:val="null3"/>
              <w:outlineLvl w:val="1"/>
            </w:pPr>
            <w:r>
              <w:rPr>
                <w:rFonts w:ascii="仿宋_GB2312" w:hAnsi="仿宋_GB2312" w:cs="仿宋_GB2312" w:eastAsia="仿宋_GB2312"/>
                <w:sz w:val="30"/>
                <w:b/>
                <w:color w:val="000000"/>
              </w:rPr>
              <w:t>四、</w:t>
            </w:r>
            <w:r>
              <w:rPr>
                <w:rFonts w:ascii="仿宋_GB2312" w:hAnsi="仿宋_GB2312" w:cs="仿宋_GB2312" w:eastAsia="仿宋_GB2312"/>
                <w:sz w:val="30"/>
                <w:b/>
                <w:color w:val="000000"/>
              </w:rPr>
              <w:t>成果提交</w:t>
            </w:r>
          </w:p>
          <w:p>
            <w:pPr>
              <w:pStyle w:val="null3"/>
              <w:ind w:firstLine="600"/>
            </w:pPr>
            <w:r>
              <w:rPr>
                <w:rFonts w:ascii="仿宋_GB2312" w:hAnsi="仿宋_GB2312" w:cs="仿宋_GB2312" w:eastAsia="仿宋_GB2312"/>
                <w:sz w:val="30"/>
                <w:color w:val="000000"/>
              </w:rPr>
              <w:t>1、</w:t>
            </w:r>
            <w:r>
              <w:rPr>
                <w:rFonts w:ascii="仿宋_GB2312" w:hAnsi="仿宋_GB2312" w:cs="仿宋_GB2312" w:eastAsia="仿宋_GB2312"/>
                <w:sz w:val="30"/>
                <w:color w:val="000000"/>
              </w:rPr>
              <w:t>不动产权证书；</w:t>
            </w:r>
          </w:p>
          <w:p>
            <w:pPr>
              <w:pStyle w:val="null3"/>
              <w:ind w:firstLine="600"/>
            </w:pPr>
            <w:r>
              <w:rPr>
                <w:rFonts w:ascii="仿宋_GB2312" w:hAnsi="仿宋_GB2312" w:cs="仿宋_GB2312" w:eastAsia="仿宋_GB2312"/>
                <w:sz w:val="30"/>
                <w:color w:val="000000"/>
              </w:rPr>
              <w:t>2、归档</w:t>
            </w:r>
            <w:r>
              <w:rPr>
                <w:rFonts w:ascii="仿宋_GB2312" w:hAnsi="仿宋_GB2312" w:cs="仿宋_GB2312" w:eastAsia="仿宋_GB2312"/>
                <w:sz w:val="30"/>
                <w:color w:val="000000"/>
              </w:rPr>
              <w:t>档案资料；</w:t>
            </w:r>
          </w:p>
          <w:p>
            <w:pPr>
              <w:pStyle w:val="null3"/>
              <w:ind w:firstLine="600"/>
            </w:pPr>
            <w:r>
              <w:rPr>
                <w:rFonts w:ascii="仿宋_GB2312" w:hAnsi="仿宋_GB2312" w:cs="仿宋_GB2312" w:eastAsia="仿宋_GB2312"/>
                <w:sz w:val="30"/>
                <w:color w:val="000000"/>
              </w:rPr>
              <w:t>3、成果检查资料；</w:t>
            </w:r>
          </w:p>
          <w:p>
            <w:pPr>
              <w:pStyle w:val="null3"/>
              <w:ind w:firstLine="600"/>
            </w:pPr>
            <w:r>
              <w:rPr>
                <w:rFonts w:ascii="仿宋_GB2312" w:hAnsi="仿宋_GB2312" w:cs="仿宋_GB2312" w:eastAsia="仿宋_GB2312"/>
                <w:sz w:val="30"/>
                <w:color w:val="000000"/>
              </w:rPr>
              <w:t>4、所有纸质版及电子版成果应同时交付采购人。</w:t>
            </w:r>
          </w:p>
          <w:p>
            <w:pPr>
              <w:pStyle w:val="null3"/>
              <w:outlineLvl w:val="1"/>
            </w:pPr>
            <w:r>
              <w:rPr>
                <w:rFonts w:ascii="仿宋_GB2312" w:hAnsi="仿宋_GB2312" w:cs="仿宋_GB2312" w:eastAsia="仿宋_GB2312"/>
                <w:sz w:val="30"/>
                <w:b/>
                <w:color w:val="000000"/>
              </w:rPr>
              <w:t>五、</w:t>
            </w:r>
            <w:r>
              <w:rPr>
                <w:rFonts w:ascii="仿宋_GB2312" w:hAnsi="仿宋_GB2312" w:cs="仿宋_GB2312" w:eastAsia="仿宋_GB2312"/>
                <w:sz w:val="30"/>
                <w:b/>
                <w:color w:val="000000"/>
              </w:rPr>
              <w:t>商务条款及要求</w:t>
            </w:r>
          </w:p>
          <w:p>
            <w:pPr>
              <w:pStyle w:val="null3"/>
              <w:ind w:firstLine="602"/>
            </w:pPr>
            <w:r>
              <w:rPr>
                <w:rFonts w:ascii="仿宋_GB2312" w:hAnsi="仿宋_GB2312" w:cs="仿宋_GB2312" w:eastAsia="仿宋_GB2312"/>
                <w:sz w:val="30"/>
                <w:b/>
                <w:color w:val="000000"/>
              </w:rPr>
              <w:t>（一）服务期限及地点</w:t>
            </w:r>
            <w:r>
              <w:rPr>
                <w:rFonts w:ascii="仿宋_GB2312" w:hAnsi="仿宋_GB2312" w:cs="仿宋_GB2312" w:eastAsia="仿宋_GB2312"/>
                <w:sz w:val="30"/>
                <w:color w:val="000000"/>
              </w:rPr>
              <w:t>：</w:t>
            </w:r>
          </w:p>
          <w:p>
            <w:pPr>
              <w:pStyle w:val="null3"/>
              <w:ind w:firstLine="600"/>
            </w:pPr>
            <w:r>
              <w:rPr>
                <w:rFonts w:ascii="仿宋_GB2312" w:hAnsi="仿宋_GB2312" w:cs="仿宋_GB2312" w:eastAsia="仿宋_GB2312"/>
                <w:sz w:val="30"/>
                <w:color w:val="000000"/>
              </w:rPr>
              <w:t>1、符合国家、省、市有关不动产权籍调查技术标准。</w:t>
            </w:r>
          </w:p>
          <w:p>
            <w:pPr>
              <w:pStyle w:val="null3"/>
              <w:ind w:firstLine="600"/>
            </w:pPr>
            <w:r>
              <w:rPr>
                <w:rFonts w:ascii="仿宋_GB2312" w:hAnsi="仿宋_GB2312" w:cs="仿宋_GB2312" w:eastAsia="仿宋_GB2312"/>
                <w:sz w:val="30"/>
                <w:color w:val="000000"/>
              </w:rPr>
              <w:t>2、</w:t>
            </w:r>
            <w:r>
              <w:rPr>
                <w:rFonts w:ascii="仿宋_GB2312" w:hAnsi="仿宋_GB2312" w:cs="仿宋_GB2312" w:eastAsia="仿宋_GB2312"/>
                <w:sz w:val="30"/>
                <w:color w:val="000000"/>
              </w:rPr>
              <w:t>提交的所有成果应满足省、市验收要求。</w:t>
            </w:r>
          </w:p>
          <w:p>
            <w:pPr>
              <w:pStyle w:val="null3"/>
              <w:ind w:firstLine="600"/>
            </w:pPr>
            <w:r>
              <w:rPr>
                <w:rFonts w:ascii="仿宋_GB2312" w:hAnsi="仿宋_GB2312" w:cs="仿宋_GB2312" w:eastAsia="仿宋_GB2312"/>
                <w:sz w:val="30"/>
                <w:color w:val="000000"/>
              </w:rPr>
              <w:t>完成时间：</w:t>
            </w:r>
            <w:r>
              <w:rPr>
                <w:rFonts w:ascii="仿宋_GB2312" w:hAnsi="仿宋_GB2312" w:cs="仿宋_GB2312" w:eastAsia="仿宋_GB2312"/>
                <w:sz w:val="30"/>
                <w:color w:val="000000"/>
              </w:rPr>
              <w:t>自合同签订之日起至</w:t>
            </w:r>
            <w:r>
              <w:rPr>
                <w:rFonts w:ascii="仿宋_GB2312" w:hAnsi="仿宋_GB2312" w:cs="仿宋_GB2312" w:eastAsia="仿宋_GB2312"/>
                <w:sz w:val="30"/>
                <w:color w:val="000000"/>
              </w:rPr>
              <w:t>2027年底（</w:t>
            </w:r>
            <w:r>
              <w:rPr>
                <w:rFonts w:ascii="仿宋_GB2312" w:hAnsi="仿宋_GB2312" w:cs="仿宋_GB2312" w:eastAsia="仿宋_GB2312"/>
                <w:sz w:val="30"/>
                <w:color w:val="000000"/>
              </w:rPr>
              <w:t>依据国家及省、市相关规定执行。因国家、省、市政策变化等不可抗力影响</w:t>
            </w:r>
            <w:r>
              <w:rPr>
                <w:rFonts w:ascii="仿宋_GB2312" w:hAnsi="仿宋_GB2312" w:cs="仿宋_GB2312" w:eastAsia="仿宋_GB2312"/>
                <w:sz w:val="30"/>
                <w:color w:val="000000"/>
              </w:rPr>
              <w:t>服务</w:t>
            </w:r>
            <w:r>
              <w:rPr>
                <w:rFonts w:ascii="仿宋_GB2312" w:hAnsi="仿宋_GB2312" w:cs="仿宋_GB2312" w:eastAsia="仿宋_GB2312"/>
                <w:sz w:val="30"/>
                <w:color w:val="000000"/>
              </w:rPr>
              <w:t>期的，经甲方确认同意后，</w:t>
            </w:r>
            <w:r>
              <w:rPr>
                <w:rFonts w:ascii="仿宋_GB2312" w:hAnsi="仿宋_GB2312" w:cs="仿宋_GB2312" w:eastAsia="仿宋_GB2312"/>
                <w:sz w:val="30"/>
                <w:color w:val="000000"/>
              </w:rPr>
              <w:t>服务</w:t>
            </w:r>
            <w:r>
              <w:rPr>
                <w:rFonts w:ascii="仿宋_GB2312" w:hAnsi="仿宋_GB2312" w:cs="仿宋_GB2312" w:eastAsia="仿宋_GB2312"/>
                <w:sz w:val="30"/>
                <w:color w:val="000000"/>
              </w:rPr>
              <w:t>期相应顺延</w:t>
            </w:r>
            <w:r>
              <w:rPr>
                <w:rFonts w:ascii="仿宋_GB2312" w:hAnsi="仿宋_GB2312" w:cs="仿宋_GB2312" w:eastAsia="仿宋_GB2312"/>
                <w:sz w:val="30"/>
                <w:color w:val="000000"/>
              </w:rPr>
              <w:t>。）</w:t>
            </w:r>
          </w:p>
          <w:p>
            <w:pPr>
              <w:pStyle w:val="null3"/>
              <w:ind w:firstLine="600"/>
            </w:pPr>
            <w:r>
              <w:rPr>
                <w:rFonts w:ascii="仿宋_GB2312" w:hAnsi="仿宋_GB2312" w:cs="仿宋_GB2312" w:eastAsia="仿宋_GB2312"/>
                <w:sz w:val="30"/>
                <w:color w:val="000000"/>
              </w:rPr>
              <w:t xml:space="preserve"> </w:t>
            </w:r>
            <w:r>
              <w:rPr>
                <w:rFonts w:ascii="仿宋_GB2312" w:hAnsi="仿宋_GB2312" w:cs="仿宋_GB2312" w:eastAsia="仿宋_GB2312"/>
                <w:sz w:val="30"/>
                <w:color w:val="000000"/>
              </w:rPr>
              <w:t xml:space="preserve">3.地点：采购人指定地点。  </w:t>
            </w:r>
          </w:p>
          <w:p>
            <w:pPr>
              <w:pStyle w:val="null3"/>
              <w:ind w:firstLine="602"/>
            </w:pPr>
            <w:r>
              <w:rPr>
                <w:rFonts w:ascii="仿宋_GB2312" w:hAnsi="仿宋_GB2312" w:cs="仿宋_GB2312" w:eastAsia="仿宋_GB2312"/>
                <w:sz w:val="30"/>
                <w:b/>
                <w:color w:val="000000"/>
              </w:rPr>
              <w:t>（二）付款方式：</w:t>
            </w:r>
            <w:r>
              <w:rPr>
                <w:rFonts w:ascii="仿宋_GB2312" w:hAnsi="仿宋_GB2312" w:cs="仿宋_GB2312" w:eastAsia="仿宋_GB2312"/>
                <w:sz w:val="22"/>
              </w:rPr>
              <w:t xml:space="preserve">                           </w:t>
            </w:r>
          </w:p>
          <w:p>
            <w:pPr>
              <w:pStyle w:val="null3"/>
              <w:ind w:firstLine="600"/>
            </w:pPr>
            <w:r>
              <w:rPr>
                <w:rFonts w:ascii="仿宋_GB2312" w:hAnsi="仿宋_GB2312" w:cs="仿宋_GB2312" w:eastAsia="仿宋_GB2312"/>
                <w:sz w:val="30"/>
                <w:color w:val="000000"/>
              </w:rPr>
              <w:t>1、甲乙双方签订合同后 30 个工作日内，甲方向乙方支付合同总价的 30% 作为预付款；项目实施过程中，甲方根据乙方实际完成的合格工作量分阶段支付合同价款，具体阶段划分、支付比例及支付条件由甲乙双方另行协商并在签订的合同中明确。</w:t>
            </w:r>
          </w:p>
          <w:p>
            <w:pPr>
              <w:pStyle w:val="null3"/>
              <w:ind w:firstLine="600"/>
            </w:pPr>
            <w:r>
              <w:rPr>
                <w:rFonts w:ascii="仿宋_GB2312" w:hAnsi="仿宋_GB2312" w:cs="仿宋_GB2312" w:eastAsia="仿宋_GB2312"/>
                <w:sz w:val="30"/>
                <w:color w:val="000000"/>
              </w:rPr>
              <w:t>2、甲方付款前乙方提供正规普通增值税发票。</w:t>
            </w:r>
          </w:p>
          <w:p>
            <w:pPr>
              <w:pStyle w:val="null3"/>
              <w:ind w:firstLine="600"/>
            </w:pPr>
            <w:r>
              <w:rPr>
                <w:rFonts w:ascii="仿宋_GB2312" w:hAnsi="仿宋_GB2312" w:cs="仿宋_GB2312" w:eastAsia="仿宋_GB2312"/>
                <w:sz w:val="30"/>
                <w:color w:val="000000"/>
              </w:rPr>
              <w:t>3、支付方式：银行转帐。</w:t>
            </w:r>
          </w:p>
          <w:p>
            <w:pPr>
              <w:pStyle w:val="null3"/>
              <w:ind w:firstLine="602"/>
            </w:pPr>
            <w:r>
              <w:rPr>
                <w:rFonts w:ascii="仿宋_GB2312" w:hAnsi="仿宋_GB2312" w:cs="仿宋_GB2312" w:eastAsia="仿宋_GB2312"/>
                <w:sz w:val="30"/>
                <w:b/>
                <w:color w:val="000000"/>
              </w:rPr>
              <w:t>（三）质量保证：</w:t>
            </w:r>
          </w:p>
          <w:p>
            <w:pPr>
              <w:pStyle w:val="null3"/>
              <w:ind w:firstLine="600"/>
              <w:jc w:val="both"/>
            </w:pPr>
            <w:r>
              <w:rPr>
                <w:rFonts w:ascii="仿宋_GB2312" w:hAnsi="仿宋_GB2312" w:cs="仿宋_GB2312" w:eastAsia="仿宋_GB2312"/>
                <w:sz w:val="30"/>
                <w:color w:val="000000"/>
              </w:rPr>
              <w:t>服务的质量必须符合国家标准和有关规范，确保服务达到最佳使用要求。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自合同签订之日起至2027年底（依据国家及省、市相关规定执行。因国家、省、市政策变化等不可抗力影响工期的，经甲方确认同意后，工期相应顺延。）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临潼区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符合国家、省、市有关不动产权籍调查技术标准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项目进度达到60%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项目进度达到100%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②、税收缴纳证明：提供自2025年3月1日至投标截止日已缴纳的任意一个月的纳税证明或完税证明，依法免税的单位应提供相关证明材料； ③、社会保障资金缴纳证明：提供自2025年3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供应商须具备行政主管部门颁发的测绘乙级及以上资质；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拟派项目负责人须具有测绘类相关专业中级及以上职称证书。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（3）法定代表人（主要负责人）委托授权书\身份证明</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 ”要求，可以扩充。</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（3）未超出预算金额或最高限价 （4）符合《开标一览表》的填报要求</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实质性条款全部响应，不能有采购人不能接受的附加条件</w:t>
            </w:r>
          </w:p>
        </w:tc>
        <w:tc>
          <w:tcPr>
            <w:tcW w:type="dxa" w:w="1661"/>
          </w:tcPr>
          <w:p>
            <w:pPr>
              <w:pStyle w:val="null3"/>
            </w:pPr>
            <w:r>
              <w:rPr>
                <w:rFonts w:ascii="仿宋_GB2312" w:hAnsi="仿宋_GB2312" w:cs="仿宋_GB2312" w:eastAsia="仿宋_GB2312"/>
              </w:rPr>
              <w:t>开标一览表 业绩.docx 安全保密.docx 中小企业声明函 服务承诺.docx 质量保证措施.docx 商务应答表.docx 工作重点与难点分析及对策.docx 合理化建议.docx 进度保证措施.docx 人员配置.docx 分项报价表.docx 投标人应提交的相关资格证明材料.docx 投标函 仪器设备.docx 残疾人福利性单位声明函 标的清单 投标文件封面 实施方案.docx 服务内容及服务要求应答表.docx 有健全的技术管理保证体系.docx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供应商针对本项目编制周密的实施方案，内容包含： ①项目总体实施策划方案； ②确权全流程核心技术实施； ③权属争议调处、群众工作与权益保障方案； ④项目成果交付、档案管理与信息化成果汇交方案； 二、评审标准： 1.完整性：方案必须全面，对评审内容中的各项要求有详细描述； 2.落地性：切合本项目实际情况，提出步骤清晰、合理并具有可实施性的方案； 3.针对性：方案能够紧扣项目实际情况，内容科学合理。 三、赋分标准(满分12分)①项目总体实施策划方案：每完全满足一个评审标准得1分，满分3分； ②确权全流程核心技术实施：每完全满足一个评审标准得1分，满分3分； ③权属争议调处、群众工作与权益保障方案：每完全满足一个评审标准得1分，满3分。 ④项目成果交付、档案管理与信息化成果汇交方案：每完全满足一个评审标准得1分，满3分。内容有缺陷或不完整每项扣0.5分。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工作重点与难点分析及对策</w:t>
            </w:r>
          </w:p>
        </w:tc>
        <w:tc>
          <w:tcPr>
            <w:tcW w:type="dxa" w:w="2492"/>
          </w:tcPr>
          <w:p>
            <w:pPr>
              <w:pStyle w:val="null3"/>
            </w:pPr>
            <w:r>
              <w:rPr>
                <w:rFonts w:ascii="仿宋_GB2312" w:hAnsi="仿宋_GB2312" w:cs="仿宋_GB2312" w:eastAsia="仿宋_GB2312"/>
              </w:rPr>
              <w:t>一、评审内容： 供应商针对本项目编制工作重点与难点分析及对策，内容包含： ①重点难点识别与原因分析； ②应对策略； 二、评审标准 1.完整性：响应必须全面，覆盖项目所有主要内容； 2.落地性：后期服务方案切合项目需求，机制清晰、可保障； 3.针对性：响应能够紧扣项目要求，有效保障履约。 三、赋分标准(满分6分) ①重点难点识别与原因分析：每完全满足一个评审标准得1分，满分3分； ②应对策略：每完全满足一个评审标准得1分，满分3分； 内容有缺陷或不完整每项扣0.5分。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工作重点与难点分析及对策.docx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供应商针对本项目编制结果的质量保证措施，内容包含： ①质量组织责任体系与前期源头质量管控措施 ； ②确权全流程核心作业环节专项质量管控措施 ③质量风险防控与应急兜底保障措施。 二、评审标准 1.完整性：措施必须全面，覆盖全流程各环节； 2.落地性：切合本项目实际，流程清晰、可执行； 3.针对性：措施能够紧扣本项目特点，有效保障结果质量。 三、赋分标准(满分9分) ①质量组织责任体系与前期源头质量管控措施 ：每完全满足一个评审标准得1分，满分3分； ②确权全流程核心作业环节专项质量管控措施 ：每完全满足一个评审标准得1分，满分3分； ③质量风险防控与应急兜底保障措施：每完全满足一个评审标准得1分，满分3分。内容有缺陷或不完整每项扣0.5分。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供应商针对本项目编制工作的进度保证措施，内容包含： ①进度计划与节点控制； ②风险预警与赶工预案； ③按期交付保障。 二、评审标准 1.完整性：措施必须全面，覆盖进度管控全维度； 2.落地性：切合本项目时限要求，节点清晰、可管控；3.针对性：措施能够紧扣项目进度风险，有效防范延期。 三、赋分标准(满分9分)①进度计划与节点控制：每完全满足一个评审标准得1分，满分3分； ②风险预警与赶工预案：每完全满足一个评审标准得1分，满分3分； ③按期交付保障：每完全满足一个评审标准得3分，满分3分。内容有缺陷或不完整每项扣0.5分。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仪器设备</w:t>
            </w:r>
          </w:p>
        </w:tc>
        <w:tc>
          <w:tcPr>
            <w:tcW w:type="dxa" w:w="2492"/>
          </w:tcPr>
          <w:p>
            <w:pPr>
              <w:pStyle w:val="null3"/>
            </w:pPr>
            <w:r>
              <w:rPr>
                <w:rFonts w:ascii="仿宋_GB2312" w:hAnsi="仿宋_GB2312" w:cs="仿宋_GB2312" w:eastAsia="仿宋_GB2312"/>
              </w:rPr>
              <w:t>一、评审内容： 供应商针对本项目编制投入的仪器设备，内容包含： ①设备清单与性能匹配度； ②部署计划； ③备用保障。 二、评审标准 1.完整性：设备清单必须齐全，覆盖所有内容； 2.落地性：配置计划切合项目进度，设备部署可执行；3.针对性：设备性能与配置完全匹配本项目要求。 三、赋分标准(满分9分)①设备清单与性能匹配度：每完全满足一个评审标准得3分，满分2分； ②部署计划：每完全满足一个评审标准得1分，满分3分； ③备用保障：每完全满足一个评审标准得1分，满分3分。内容有缺陷或不完整每项扣0.5分。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有健全的技术管理保证体系</w:t>
            </w:r>
          </w:p>
        </w:tc>
        <w:tc>
          <w:tcPr>
            <w:tcW w:type="dxa" w:w="2492"/>
          </w:tcPr>
          <w:p>
            <w:pPr>
              <w:pStyle w:val="null3"/>
            </w:pPr>
            <w:r>
              <w:rPr>
                <w:rFonts w:ascii="仿宋_GB2312" w:hAnsi="仿宋_GB2312" w:cs="仿宋_GB2312" w:eastAsia="仿宋_GB2312"/>
              </w:rPr>
              <w:t>一、评审内容： 供应商针对本项目建立健全的技术管理保证体系，内容包含： ①组织架构； ②制度文件与内审机制； ③体系运行有效性。 二、评审标准 1.完整性：体系必须全面，覆盖技术与质量管控全维度； 2.落地性：切合本项目执行需求，组织与制度可运行；3.针对性：体系能够紧扣项目特点，有效支撑项目实施。 三、赋分标准(满分9分)①组织架构：每完全满足一个评审标准得1分，满分3分； ②制度文件与内审机制：每完全满足一个评审标准得1分，满分3分； ③体系运行有效性：每完全满足一个评审标准得1分，满分3分。内容有缺陷或不完整每项扣0.5分。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有健全的技术管理保证体系.docx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供应商针对本项目编制周密的人员配置实施方案，内容包含：① 专业作业人员配置；②人员培训方案。二、评审标准1、完整性：方案必须全面，对评审内容中的各项要求有详细描述； 2、落地性：切合本项目实际情况，提出步骤清晰、合理并具有可实施性的方案；3、针对性：方案能够紧扣项目实际情况，内容科学合理。三、赋分标准（满分6分）① 专业作业人员配置每完全满足一个评审标准得1分，满分3分。②人员培训方案每完全满足一个评审标准得1 分，满分3分。内容有缺陷或不完整每项扣0.5分。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安全保密</w:t>
            </w:r>
          </w:p>
        </w:tc>
        <w:tc>
          <w:tcPr>
            <w:tcW w:type="dxa" w:w="2492"/>
          </w:tcPr>
          <w:p>
            <w:pPr>
              <w:pStyle w:val="null3"/>
            </w:pPr>
            <w:r>
              <w:rPr>
                <w:rFonts w:ascii="仿宋_GB2312" w:hAnsi="仿宋_GB2312" w:cs="仿宋_GB2312" w:eastAsia="仿宋_GB2312"/>
              </w:rPr>
              <w:t>一、评审内容： 供应商针对本项目的安全保密方案①安全保密组织管理体系、责任制度；②安全保密监督检查方案； 二、评审标准 1.完整性：响应必须全面，覆盖项目需求； 2.落地性：后期服务方案切合项目需求，机制清晰、可保障； 3.针对性：响应能够紧扣项目要求，有效保障履约。 三、赋分标准(满分9分) ①安全保密组织管理体系、责任制度：每完全满足一个评审标准得1.5分，满分4.5分； ②安全保密监督检查方案：每完全满足一个评审标准得1.5分，满分4.5分。内容有缺陷或不完整每项扣0.5分。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安全保密.docx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一、评审内容：供应商针对本项目编制合理化建议，内容包含：① 确权流程优化建议② 颁证效率提升建议③问题防控改进建议。二、评审标准：1. 完整性：方案必须全面，对评审内容中的各项要求有详细描述，无遗漏、无模糊表述；2. 落地性：切合本项目土地确权颁证实际情况，提出步骤清晰、合理并具有可实施性的方案，无空泛、不切实际的建议；3. 针对性：方案能够紧扣项目实际情况，聚焦确权颁证核心难点，内容科学合理，具有实际应用价值。三、赋分标准(满分9分)① 确权流程优化建议：每完全满足一个评审标准得1分，满分3分；② 颁证效率提升建议：每完全满足一个评审标准得1分，满分3分；③ 问题防控改进建议：每完全满足一个评审标准得1分，满分3分；内容有缺陷或不完整每项扣0.5分。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一、评审内容：供应商针对本项目编制服务承诺，内容包含：①项目实施、协调过程的承诺②成果审核及后续技术相关服务的承诺 ；二、评审标准：1. 完整性：必须全面，对评审内容中的各项要求有详细描述，无遗漏、无模糊表述；2. 针对性：能够紧扣本项目土地确权颁证的核心需求，内容科学合理、贴合实际。三、赋分标准(满分4分)①针对本项目实施、协调过程的承诺：每完全满足一个评审标准（完整性、针对性）得1分，满分2分；②成果审核及后续技术相关服务的承诺 ：每完全满足一个评审标准（完整性、针对性）得1分，满分2分，内容有缺陷或不完整每项扣0.5分。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提供2023年3月至今承接过类似的项目业绩，每提供一份得2分，最高得8分；没有提供不得分。（业绩需提供项目中标通知书或服务合同盖章复印件，以合同签订日期或中标通知书日期为准）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即满足采购文件要求且投标报价最低的价格为评标基准价，其价格分为满分。其他供应商的价格分统一按照下列公式计算： 投标报价得分=（评标基准价/投标报价）×价格权值×100 超出预算的投标报价在评审过程中按无效投标处理。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详见附件：工作重点与难点分析及对策.docx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详见附件：仪器设备.docx</w:t>
      </w:r>
    </w:p>
    <w:p>
      <w:pPr>
        <w:pStyle w:val="null3"/>
        <w:ind w:firstLine="960"/>
      </w:pPr>
      <w:r>
        <w:rPr>
          <w:rFonts w:ascii="仿宋_GB2312" w:hAnsi="仿宋_GB2312" w:cs="仿宋_GB2312" w:eastAsia="仿宋_GB2312"/>
        </w:rPr>
        <w:t>详见附件：有健全的技术管理保证体系.docx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详见附件：安全保密.docx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