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版本号：FHGJ-ZZ-2026-004.1B120260304001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西安市临潼区2026年临聘幼儿教师购买服务采购项目(二次)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FHGJ-ZZ-2026-004.1B1</w:t>
      </w:r>
      <w:r>
        <w:br/>
      </w:r>
      <w:r>
        <w:br/>
      </w:r>
      <w:r>
        <w:br/>
      </w:r>
    </w:p>
    <w:p>
      <w:pPr>
        <w:pStyle w:val="null3"/>
        <w:jc w:val="center"/>
        <w:outlineLvl w:val="2"/>
      </w:pPr>
      <w:r>
        <w:rPr>
          <w:rFonts w:ascii="仿宋_GB2312" w:hAnsi="仿宋_GB2312" w:cs="仿宋_GB2312" w:eastAsia="仿宋_GB2312"/>
          <w:sz w:val="28"/>
          <w:b/>
        </w:rPr>
        <w:t>西安市临潼区教育局</w:t>
      </w:r>
    </w:p>
    <w:p>
      <w:pPr>
        <w:pStyle w:val="null3"/>
        <w:jc w:val="center"/>
        <w:outlineLvl w:val="2"/>
      </w:pPr>
      <w:r>
        <w:rPr>
          <w:rFonts w:ascii="仿宋_GB2312" w:hAnsi="仿宋_GB2312" w:cs="仿宋_GB2312" w:eastAsia="仿宋_GB2312"/>
          <w:sz w:val="28"/>
          <w:b/>
        </w:rPr>
        <w:t>丰汇国际项目管理有限公司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2026年03月04日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丰汇国际项目管理有限公司</w:t>
      </w:r>
      <w:r>
        <w:rPr>
          <w:rFonts w:ascii="仿宋_GB2312" w:hAnsi="仿宋_GB2312" w:cs="仿宋_GB2312" w:eastAsia="仿宋_GB2312"/>
        </w:rPr>
        <w:t>（以下简称“代理机构”）受</w:t>
      </w:r>
      <w:r>
        <w:rPr>
          <w:rFonts w:ascii="仿宋_GB2312" w:hAnsi="仿宋_GB2312" w:cs="仿宋_GB2312" w:eastAsia="仿宋_GB2312"/>
        </w:rPr>
        <w:t>西安市临潼区教育局</w:t>
      </w:r>
      <w:r>
        <w:rPr>
          <w:rFonts w:ascii="仿宋_GB2312" w:hAnsi="仿宋_GB2312" w:cs="仿宋_GB2312" w:eastAsia="仿宋_GB2312"/>
        </w:rPr>
        <w:t>委托，拟对</w:t>
      </w:r>
      <w:r>
        <w:rPr>
          <w:rFonts w:ascii="仿宋_GB2312" w:hAnsi="仿宋_GB2312" w:cs="仿宋_GB2312" w:eastAsia="仿宋_GB2312"/>
        </w:rPr>
        <w:t>西安市临潼区2026年临聘幼儿教师购买服务采购项目(二次)</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FHGJ-ZZ-2026-004.1B1</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西安市临潼区2026年临聘幼儿教师购买服务采购项目(二次)</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为持续推进全区幼儿教师队伍建设，促进幼教事业稳步健康发展，区教育局计划开展2026年度临聘幼儿教师招聘采购工作，计划招聘临聘幼儿教师75名。为组织好此项工作，现按照国家法律、法规的相关规定要求，拟对有关招聘公司组织招标。</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采购包1（西安市临潼区2026年临聘幼儿教师购买服务采购项目的采购项目）：属于专门面向小微企业采购。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1、法定代表人授权书：供应商应授权合法的人员参与投标全过程，其中法定代表人直接投标，须附法定代表人身份证明书。法定代表人授权代表参加投标的，须附法定代表人授权书；</w:t>
      </w:r>
    </w:p>
    <w:p>
      <w:pPr>
        <w:pStyle w:val="null3"/>
      </w:pPr>
      <w:r>
        <w:rPr>
          <w:rFonts w:ascii="仿宋_GB2312" w:hAnsi="仿宋_GB2312" w:cs="仿宋_GB2312" w:eastAsia="仿宋_GB2312"/>
        </w:rPr>
        <w:t>2、信用记录：供应商应在信用中国、中国执行信息公开网和中国政府采购网（www.ccgp.gov.cn）可查询信用记录，并且未被列入失信被执行人、重大税收违法案件当事人名单、政府采购严重违法失信行为记录名单等，以投标当日现场查询结果截图形式留存。</w:t>
      </w:r>
    </w:p>
    <w:p>
      <w:pPr>
        <w:pStyle w:val="null3"/>
      </w:pPr>
      <w:r>
        <w:rPr>
          <w:rFonts w:ascii="仿宋_GB2312" w:hAnsi="仿宋_GB2312" w:cs="仿宋_GB2312" w:eastAsia="仿宋_GB2312"/>
        </w:rPr>
        <w:t>3、关联关系：单位负责人为同一人或者存在直接控股、管理关系的不同供应商，不得参加同一合同项下的政府采购活动。</w:t>
      </w:r>
    </w:p>
    <w:p>
      <w:pPr>
        <w:pStyle w:val="null3"/>
      </w:pPr>
      <w:r>
        <w:rPr>
          <w:rFonts w:ascii="仿宋_GB2312" w:hAnsi="仿宋_GB2312" w:cs="仿宋_GB2312" w:eastAsia="仿宋_GB2312"/>
        </w:rPr>
        <w:t>4、劳务派遣经营许可证：供应商具有行业行政主管部门颁发的《劳务派遣经营许可证》</w:t>
      </w:r>
    </w:p>
    <w:p>
      <w:pPr>
        <w:pStyle w:val="null3"/>
      </w:pPr>
      <w:r>
        <w:rPr>
          <w:rFonts w:ascii="仿宋_GB2312" w:hAnsi="仿宋_GB2312" w:cs="仿宋_GB2312" w:eastAsia="仿宋_GB2312"/>
        </w:rPr>
        <w:t>5、联合体：本项目不接受联合体投标。</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西安市临潼区教育局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临潼区人民东路55号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李老师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029-83817232</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丰汇国际项目管理有限公司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陕西省西安市碑林区长安北路（南稍门十字）大话南门壹中心13楼1309室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710054</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张静</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15109299905</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西安市临潼区政府采购管理股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马明</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83825758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采购包1：3,300,000.00元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乙级，则该联合体资质等级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招标代理服务费参考《国家计委关于印发&lt;招标代理服务收费管理暂行办法&gt;的通知》（计价格【2002】1980号）及《国家发改委关于降低部分建设项目收费标准规范收费行为等有关问题的通知》（发改价格[2011]534号）规定按标准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政府采购合同签订之日起2个工作日内，采购人将政府采购合同在陕西省政府采购网予以公告；政府采购合同签订之日起7个工作日内，采购人将政府采购合同报本级财政部门备案。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是否组织潜在投标人现场考察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 出现上述的情形，不影响采购公平、公正的，采购人或者采购代理机构可以待上述情形消除后继续组织采购活动；影响或者可能影响采购公平、公正的，采购人或者采购代理机构应当依法废标。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西安市临潼区教育局</w:t>
      </w:r>
      <w:r>
        <w:rPr>
          <w:rFonts w:ascii="仿宋_GB2312" w:hAnsi="仿宋_GB2312" w:cs="仿宋_GB2312" w:eastAsia="仿宋_GB2312"/>
        </w:rPr>
        <w:t>和</w:t>
      </w:r>
      <w:r>
        <w:rPr>
          <w:rFonts w:ascii="仿宋_GB2312" w:hAnsi="仿宋_GB2312" w:cs="仿宋_GB2312" w:eastAsia="仿宋_GB2312"/>
        </w:rPr>
        <w:t>丰汇国际项目管理有限公司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西安市临潼区教育局</w:t>
      </w:r>
      <w:r>
        <w:rPr>
          <w:rFonts w:ascii="仿宋_GB2312" w:hAnsi="仿宋_GB2312" w:cs="仿宋_GB2312" w:eastAsia="仿宋_GB2312"/>
        </w:rPr>
        <w:t>负责解释。除上述招标文件内容，其他内容由</w:t>
      </w:r>
      <w:r>
        <w:rPr>
          <w:rFonts w:ascii="仿宋_GB2312" w:hAnsi="仿宋_GB2312" w:cs="仿宋_GB2312" w:eastAsia="仿宋_GB2312"/>
        </w:rPr>
        <w:t>丰汇国际项目管理有限公司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西安市临潼区教育局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丰汇国际项目管理有限公司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二、投标人应认真阅读和充分理解招标文件中所有的事项、格式条款和规范要求。投标人没有对招标文件全面作出实质性响应所产生的风险由投标人承担。</w:t>
      </w:r>
    </w:p>
    <w:p>
      <w:pPr>
        <w:pStyle w:val="null3"/>
        <w:outlineLvl w:val="3"/>
      </w:pPr>
      <w:r>
        <w:rPr>
          <w:rFonts w:ascii="仿宋_GB2312" w:hAnsi="仿宋_GB2312" w:cs="仿宋_GB2312" w:eastAsia="仿宋_GB2312"/>
          <w:sz w:val="24"/>
          <w:b/>
        </w:rPr>
        <w:t>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印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jc w:val="left"/>
      </w:pPr>
      <w:r>
        <w:rPr>
          <w:rFonts w:ascii="仿宋_GB2312" w:hAnsi="仿宋_GB2312" w:cs="仿宋_GB2312" w:eastAsia="仿宋_GB2312"/>
        </w:rPr>
        <w:t xml:space="preserve"> 投标文件提交截止时间前30分钟，投标人登录项目电子化交易系统-“开标/开启大厅”参与开标。</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分钟；投标人应在规定的解密时间内，使用互认的证书及签章通过项目电子化交易系统进行投标文件解密。投标人未在规定的解密时间内完成解密的，按无效投标处理。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w:t>
      </w:r>
    </w:p>
    <w:p>
      <w:pPr>
        <w:pStyle w:val="null3"/>
        <w:ind w:firstLine="480"/>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2.7.2投标人不得具有的情形（实质性要求）</w:t>
      </w:r>
    </w:p>
    <w:p>
      <w:pPr>
        <w:pStyle w:val="null3"/>
        <w:ind w:firstLine="480"/>
      </w:pPr>
      <w:r>
        <w:rPr>
          <w:rFonts w:ascii="仿宋_GB2312" w:hAnsi="仿宋_GB2312" w:cs="仿宋_GB2312" w:eastAsia="仿宋_GB2312"/>
        </w:rPr>
        <w:t>投标人参加投标不得有下列情形：</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八、未按照招标文件确定的事项签订政府采购合同；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投标人有上述情形的，按照规定追究法律责任，具有前述一至十三条情形之一的，其投标文件无效，或取消被确认为中标供应商的资格或认定中标无效。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政府采购活动中，采购人员及相关人员与投标人有下列利害关系之一的，应当回避：</w:t>
      </w:r>
    </w:p>
    <w:p>
      <w:pPr>
        <w:pStyle w:val="null3"/>
        <w:ind w:firstLine="480"/>
      </w:pPr>
      <w:r>
        <w:rPr>
          <w:rFonts w:ascii="仿宋_GB2312" w:hAnsi="仿宋_GB2312" w:cs="仿宋_GB2312" w:eastAsia="仿宋_GB2312"/>
        </w:rPr>
        <w:t>（1）参加采购活动前3年内与投标人存在劳动关系；</w:t>
      </w:r>
    </w:p>
    <w:p>
      <w:pPr>
        <w:pStyle w:val="null3"/>
        <w:ind w:firstLine="480"/>
      </w:pPr>
      <w:r>
        <w:rPr>
          <w:rFonts w:ascii="仿宋_GB2312" w:hAnsi="仿宋_GB2312" w:cs="仿宋_GB2312" w:eastAsia="仿宋_GB2312"/>
        </w:rPr>
        <w:t>（2）参加采购活动前3年内担任投标人的董事、监事；</w:t>
      </w:r>
    </w:p>
    <w:p>
      <w:pPr>
        <w:pStyle w:val="null3"/>
        <w:ind w:firstLine="480"/>
      </w:pPr>
      <w:r>
        <w:rPr>
          <w:rFonts w:ascii="仿宋_GB2312" w:hAnsi="仿宋_GB2312" w:cs="仿宋_GB2312" w:eastAsia="仿宋_GB2312"/>
        </w:rPr>
        <w:t>（3）参加采购活动前3年内是投标人的控股股东或者实际控制人；</w:t>
      </w:r>
    </w:p>
    <w:p>
      <w:pPr>
        <w:pStyle w:val="null3"/>
        <w:ind w:firstLine="480"/>
      </w:pPr>
      <w:r>
        <w:rPr>
          <w:rFonts w:ascii="仿宋_GB2312" w:hAnsi="仿宋_GB2312" w:cs="仿宋_GB2312" w:eastAsia="仿宋_GB2312"/>
        </w:rPr>
        <w:t>（4）与投标人的法定代表人或者负责人有夫妻、直系血亲、三代以内旁系血亲或者近姻亲关系；</w:t>
      </w:r>
    </w:p>
    <w:p>
      <w:pPr>
        <w:pStyle w:val="null3"/>
        <w:ind w:firstLine="480"/>
      </w:pPr>
      <w:r>
        <w:rPr>
          <w:rFonts w:ascii="仿宋_GB2312" w:hAnsi="仿宋_GB2312" w:cs="仿宋_GB2312" w:eastAsia="仿宋_GB2312"/>
        </w:rPr>
        <w:t>（5）与投标人有其他可能影响政府采购活动公平、公正进行的关系。</w:t>
      </w:r>
    </w:p>
    <w:p>
      <w:pPr>
        <w:pStyle w:val="null3"/>
        <w:ind w:firstLine="480"/>
      </w:pPr>
      <w:r>
        <w:rPr>
          <w:rFonts w:ascii="仿宋_GB2312" w:hAnsi="仿宋_GB2312" w:cs="仿宋_GB2312" w:eastAsia="仿宋_GB2312"/>
        </w:rPr>
        <w:t xml:space="preserve"> 投标人认为采购人员及相关人员与其他投标人有利害关系的，可以向代理机构书面提出回避申请，并说明理由。代理机构将及时询问被申请回避人员，有利害关系的被申请回避人员应当回避。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丰汇国际项目管理有限公司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 （一）对可以质疑的采购文件提出质疑的，为收到采购文件之日或者采购文件公告期限届满之日； （二）对采购过程提出质疑的，为各采购程序环节结束之日；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联系人：张静</w:t>
      </w:r>
    </w:p>
    <w:p>
      <w:pPr>
        <w:pStyle w:val="null3"/>
      </w:pPr>
      <w:r>
        <w:rPr>
          <w:rFonts w:ascii="仿宋_GB2312" w:hAnsi="仿宋_GB2312" w:cs="仿宋_GB2312" w:eastAsia="仿宋_GB2312"/>
        </w:rPr>
        <w:t>联系电话：15109299905</w:t>
      </w:r>
    </w:p>
    <w:p>
      <w:pPr>
        <w:pStyle w:val="null3"/>
      </w:pPr>
      <w:r>
        <w:rPr>
          <w:rFonts w:ascii="仿宋_GB2312" w:hAnsi="仿宋_GB2312" w:cs="仿宋_GB2312" w:eastAsia="仿宋_GB2312"/>
        </w:rPr>
        <w:t>地址：陕西省西安市碑林区长安北路（南稍门十字）大话南门壹中心13楼1309室</w:t>
      </w:r>
    </w:p>
    <w:p>
      <w:pPr>
        <w:pStyle w:val="null3"/>
      </w:pPr>
      <w:r>
        <w:rPr>
          <w:rFonts w:ascii="仿宋_GB2312" w:hAnsi="仿宋_GB2312" w:cs="仿宋_GB2312" w:eastAsia="仿宋_GB2312"/>
        </w:rPr>
        <w:t>邮编：710054</w:t>
      </w:r>
    </w:p>
    <w:p>
      <w:pPr>
        <w:pStyle w:val="null3"/>
        <w:ind w:firstLine="480"/>
      </w:pPr>
      <w:r>
        <w:rPr>
          <w:rFonts w:ascii="仿宋_GB2312" w:hAnsi="仿宋_GB2312" w:cs="仿宋_GB2312" w:eastAsia="仿宋_GB2312"/>
        </w:rPr>
        <w:t>注：根据《中华人民共和国政府采购法》的规定，供应商质疑不得超出招标文件、采购过程、采购结果的范围。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持续推进全区幼儿教师队伍建设，促进幼教事业稳步健康发展，区教育局计划开展2026年度临聘幼儿教师招聘采购工作，计划招聘临聘幼儿教师75名。为组织好此项工作，现按照国家法律、法规的相关规定要求，拟对有关招聘公司组织招标。</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3,300,000.00</w:t>
      </w:r>
    </w:p>
    <w:p>
      <w:pPr>
        <w:pStyle w:val="null3"/>
      </w:pPr>
      <w:r>
        <w:rPr>
          <w:rFonts w:ascii="仿宋_GB2312" w:hAnsi="仿宋_GB2312" w:cs="仿宋_GB2312" w:eastAsia="仿宋_GB2312"/>
        </w:rPr>
        <w:t>采购包最高限价（元）: 3,300,000.00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学前教育服务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3,300,000.00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3"/>
      </w:pPr>
      <w:r>
        <w:rPr>
          <w:rFonts w:ascii="仿宋_GB2312" w:hAnsi="仿宋_GB2312" w:cs="仿宋_GB2312" w:eastAsia="仿宋_GB2312"/>
          <w:sz w:val="24"/>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标的名称：学前教育服务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sz w:val="21"/>
              </w:rPr>
              <w:t>为持续推进全区幼儿教师队伍建设，促进幼教事业稳步健康发展，区教育局计划开展</w:t>
            </w:r>
            <w:r>
              <w:rPr>
                <w:rFonts w:ascii="仿宋_GB2312" w:hAnsi="仿宋_GB2312" w:cs="仿宋_GB2312" w:eastAsia="仿宋_GB2312"/>
                <w:sz w:val="21"/>
              </w:rPr>
              <w:t>2026年度临聘幼</w:t>
            </w:r>
            <w:r>
              <w:rPr>
                <w:rFonts w:ascii="仿宋_GB2312" w:hAnsi="仿宋_GB2312" w:cs="仿宋_GB2312" w:eastAsia="仿宋_GB2312"/>
                <w:sz w:val="21"/>
              </w:rPr>
              <w:t>儿教师招聘采购工作，计划招聘临聘幼儿教师</w:t>
            </w:r>
            <w:r>
              <w:rPr>
                <w:rFonts w:ascii="仿宋_GB2312" w:hAnsi="仿宋_GB2312" w:cs="仿宋_GB2312" w:eastAsia="仿宋_GB2312"/>
                <w:sz w:val="21"/>
              </w:rPr>
              <w:t>75名。为组织好此项工作，现按照国家法律、法规的相关</w:t>
            </w:r>
            <w:r>
              <w:rPr>
                <w:rFonts w:ascii="仿宋_GB2312" w:hAnsi="仿宋_GB2312" w:cs="仿宋_GB2312" w:eastAsia="仿宋_GB2312"/>
                <w:sz w:val="21"/>
              </w:rPr>
              <w:t>规定要求，拟对有关招聘公司组织招标。</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rPr>
              <w:t>二、服务内容</w:t>
            </w:r>
          </w:p>
          <w:p>
            <w:pPr>
              <w:pStyle w:val="null3"/>
            </w:pPr>
            <w:r>
              <w:rPr>
                <w:rFonts w:ascii="仿宋_GB2312" w:hAnsi="仿宋_GB2312" w:cs="仿宋_GB2312" w:eastAsia="仿宋_GB2312"/>
              </w:rPr>
              <w:t>1.熟悉西安市事业单位公开招聘政策，掌握西安市事业单位公开招聘纪律、要求、程序，熟悉教育类事业单位面向社会公开招聘教师的全流程工作；</w:t>
            </w:r>
          </w:p>
          <w:p>
            <w:pPr>
              <w:pStyle w:val="null3"/>
            </w:pPr>
            <w:r>
              <w:rPr>
                <w:rFonts w:ascii="仿宋_GB2312" w:hAnsi="仿宋_GB2312" w:cs="仿宋_GB2312" w:eastAsia="仿宋_GB2312"/>
              </w:rPr>
              <w:t>2.具备开展招聘工作的自有固定团队，分别负责招聘全流程把控、报名、资格审查、信息核对、笔试组织、面试组织、试题命制、阅卷等各环节牵头工作。招聘各个环节组织工作不允许分包；</w:t>
            </w:r>
          </w:p>
          <w:p>
            <w:pPr>
              <w:pStyle w:val="null3"/>
            </w:pPr>
            <w:r>
              <w:rPr>
                <w:rFonts w:ascii="仿宋_GB2312" w:hAnsi="仿宋_GB2312" w:cs="仿宋_GB2312" w:eastAsia="仿宋_GB2312"/>
              </w:rPr>
              <w:t>3.具有一定数量的高级职称学科教育类专家以及综合面试类专家；</w:t>
            </w:r>
          </w:p>
          <w:p>
            <w:pPr>
              <w:pStyle w:val="null3"/>
            </w:pPr>
            <w:r>
              <w:rPr>
                <w:rFonts w:ascii="仿宋_GB2312" w:hAnsi="仿宋_GB2312" w:cs="仿宋_GB2312" w:eastAsia="仿宋_GB2312"/>
              </w:rPr>
              <w:t>4.熟悉幼儿园教师招聘的命题要求，具备自主命题、阅卷、组织面试的条件，并按要求做好保密工作、落实回避要求；</w:t>
            </w:r>
          </w:p>
          <w:p>
            <w:pPr>
              <w:pStyle w:val="null3"/>
            </w:pPr>
            <w:r>
              <w:rPr>
                <w:rFonts w:ascii="仿宋_GB2312" w:hAnsi="仿宋_GB2312" w:cs="仿宋_GB2312" w:eastAsia="仿宋_GB2312"/>
              </w:rPr>
              <w:t>5.具备风险承担能力，能妥善处理招聘过程中出现的矛盾争议，并承担相应责任。</w:t>
            </w:r>
          </w:p>
          <w:p>
            <w:pPr>
              <w:pStyle w:val="null3"/>
            </w:pPr>
            <w:r>
              <w:rPr>
                <w:rFonts w:ascii="仿宋_GB2312" w:hAnsi="仿宋_GB2312" w:cs="仿宋_GB2312" w:eastAsia="仿宋_GB2312"/>
              </w:rPr>
              <w:t>6.以第三方劳务派遣形式，招聘临聘幼儿教师75名，具体人数如下：</w:t>
            </w:r>
          </w:p>
          <w:tbl>
            <w:tblPr>
              <w:tblInd w:type="dxa" w:w="120"/>
              <w:tblBorders>
                <w:top w:val="none" w:color="000000" w:sz="4"/>
                <w:left w:val="none" w:color="000000" w:sz="4"/>
                <w:bottom w:val="none" w:color="000000" w:sz="4"/>
                <w:right w:val="none" w:color="000000" w:sz="4"/>
                <w:insideH w:val="none"/>
                <w:insideV w:val="none"/>
              </w:tblBorders>
            </w:tblPr>
            <w:tblGrid>
              <w:gridCol w:w="444"/>
              <w:gridCol w:w="1389"/>
              <w:gridCol w:w="709"/>
            </w:tblGrid>
            <w:tr>
              <w:tc>
                <w:tcPr>
                  <w:tcW w:type="dxa" w:w="4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序号</w:t>
                  </w:r>
                </w:p>
              </w:tc>
              <w:tc>
                <w:tcPr>
                  <w:tcW w:type="dxa" w:w="13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幼儿园名称</w:t>
                  </w:r>
                </w:p>
              </w:tc>
              <w:tc>
                <w:tcPr>
                  <w:tcW w:type="dxa" w:w="709"/>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招聘人数</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w:t>
                  </w:r>
                </w:p>
              </w:tc>
              <w:tc>
                <w:tcPr>
                  <w:tcW w:type="dxa" w:w="1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西安市临潼区交口中心幼儿园</w:t>
                  </w:r>
                </w:p>
              </w:tc>
              <w:tc>
                <w:tcPr>
                  <w:tcW w:type="dxa" w:w="70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w:t>
                  </w:r>
                </w:p>
              </w:tc>
              <w:tc>
                <w:tcPr>
                  <w:tcW w:type="dxa" w:w="1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西安市临潼区交口第二幼儿园</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3</w:t>
                  </w:r>
                </w:p>
              </w:tc>
              <w:tc>
                <w:tcPr>
                  <w:tcW w:type="dxa" w:w="1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西安市临潼区徐杨中心幼儿园</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4</w:t>
                  </w:r>
                </w:p>
              </w:tc>
              <w:tc>
                <w:tcPr>
                  <w:tcW w:type="dxa" w:w="1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西安市临潼区行者中心幼儿园</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5</w:t>
                  </w:r>
                </w:p>
              </w:tc>
              <w:tc>
                <w:tcPr>
                  <w:tcW w:type="dxa" w:w="1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西安市临潼区代王平丰幼儿园</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6</w:t>
                  </w:r>
                </w:p>
              </w:tc>
              <w:tc>
                <w:tcPr>
                  <w:tcW w:type="dxa" w:w="1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西安市临潼区栎阳中心幼儿园</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5</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7</w:t>
                  </w:r>
                </w:p>
              </w:tc>
              <w:tc>
                <w:tcPr>
                  <w:tcW w:type="dxa" w:w="1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西安市临潼区栎阳第二幼儿园</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8</w:t>
                  </w:r>
                </w:p>
              </w:tc>
              <w:tc>
                <w:tcPr>
                  <w:tcW w:type="dxa" w:w="1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西安市临潼区任留中心幼儿园</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9</w:t>
                  </w:r>
                </w:p>
              </w:tc>
              <w:tc>
                <w:tcPr>
                  <w:tcW w:type="dxa" w:w="1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西安市临潼区铁炉中心幼儿园</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8</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10</w:t>
                  </w:r>
                </w:p>
              </w:tc>
              <w:tc>
                <w:tcPr>
                  <w:tcW w:type="dxa" w:w="1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西安市临潼区油槐中心幼儿园</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11</w:t>
                  </w:r>
                </w:p>
              </w:tc>
              <w:tc>
                <w:tcPr>
                  <w:tcW w:type="dxa" w:w="1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西安市临潼区油槐昌寨幼儿园</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12</w:t>
                  </w:r>
                </w:p>
              </w:tc>
              <w:tc>
                <w:tcPr>
                  <w:tcW w:type="dxa" w:w="1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西安市临潼区雨金中心幼儿园</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13</w:t>
                  </w:r>
                </w:p>
              </w:tc>
              <w:tc>
                <w:tcPr>
                  <w:tcW w:type="dxa" w:w="1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西安市临潼区新市第二幼儿园</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14</w:t>
                  </w:r>
                </w:p>
              </w:tc>
              <w:tc>
                <w:tcPr>
                  <w:tcW w:type="dxa" w:w="1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西安市临潼区西泉第二幼儿园</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4</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15</w:t>
                  </w:r>
                </w:p>
              </w:tc>
              <w:tc>
                <w:tcPr>
                  <w:tcW w:type="dxa" w:w="1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西安市临潼区相桥中心幼儿园</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3</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16</w:t>
                  </w:r>
                </w:p>
              </w:tc>
              <w:tc>
                <w:tcPr>
                  <w:tcW w:type="dxa" w:w="1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西安市临潼区相桥田市幼儿园</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2</w:t>
                  </w:r>
                </w:p>
              </w:tc>
            </w:tr>
            <w:tr>
              <w:tc>
                <w:tcPr>
                  <w:tcW w:type="dxa" w:w="4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17</w:t>
                  </w:r>
                </w:p>
              </w:tc>
              <w:tc>
                <w:tcPr>
                  <w:tcW w:type="dxa" w:w="13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西安市临潼区东关幼儿园</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6</w:t>
                  </w:r>
                </w:p>
              </w:tc>
            </w:tr>
            <w:tr>
              <w:tc>
                <w:tcPr>
                  <w:tcW w:type="dxa" w:w="1833"/>
                  <w:gridSpan w:val="2"/>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pPr>
                  <w:r>
                    <w:rPr>
                      <w:rFonts w:ascii="仿宋_GB2312" w:hAnsi="仿宋_GB2312" w:cs="仿宋_GB2312" w:eastAsia="仿宋_GB2312"/>
                      <w:sz w:val="19"/>
                    </w:rPr>
                    <w:t>合计</w:t>
                  </w:r>
                </w:p>
              </w:tc>
              <w:tc>
                <w:tcPr>
                  <w:tcW w:type="dxa" w:w="70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19"/>
                    </w:rPr>
                    <w:t>75</w:t>
                  </w:r>
                </w:p>
              </w:tc>
            </w:tr>
          </w:tbl>
          <w:p>
            <w:pPr>
              <w:pStyle w:val="null3"/>
            </w:pPr>
            <w:r>
              <w:rPr>
                <w:rFonts w:ascii="仿宋_GB2312" w:hAnsi="仿宋_GB2312" w:cs="仿宋_GB2312" w:eastAsia="仿宋_GB2312"/>
              </w:rPr>
              <w:t>7</w:t>
            </w:r>
            <w:r>
              <w:rPr>
                <w:rFonts w:ascii="仿宋_GB2312" w:hAnsi="仿宋_GB2312" w:cs="仿宋_GB2312" w:eastAsia="仿宋_GB2312"/>
              </w:rPr>
              <w:t>.招聘岗位基本要求</w:t>
            </w:r>
          </w:p>
          <w:p>
            <w:pPr>
              <w:pStyle w:val="null3"/>
            </w:pPr>
            <w:r>
              <w:rPr>
                <w:rFonts w:ascii="仿宋_GB2312" w:hAnsi="仿宋_GB2312" w:cs="仿宋_GB2312" w:eastAsia="仿宋_GB2312"/>
              </w:rPr>
              <w:t>（</w:t>
            </w:r>
            <w:r>
              <w:rPr>
                <w:rFonts w:ascii="仿宋_GB2312" w:hAnsi="仿宋_GB2312" w:cs="仿宋_GB2312" w:eastAsia="仿宋_GB2312"/>
              </w:rPr>
              <w:t>1）招聘基本条件</w:t>
            </w:r>
          </w:p>
          <w:p>
            <w:pPr>
              <w:pStyle w:val="null3"/>
            </w:pPr>
            <w:r>
              <w:rPr>
                <w:rFonts w:ascii="仿宋_GB2312" w:hAnsi="仿宋_GB2312" w:cs="仿宋_GB2312" w:eastAsia="仿宋_GB2312"/>
              </w:rPr>
              <w:t>1）具有中华人民共和国国籍；</w:t>
            </w:r>
          </w:p>
          <w:p>
            <w:pPr>
              <w:pStyle w:val="null3"/>
            </w:pPr>
            <w:r>
              <w:rPr>
                <w:rFonts w:ascii="仿宋_GB2312" w:hAnsi="仿宋_GB2312" w:cs="仿宋_GB2312" w:eastAsia="仿宋_GB2312"/>
              </w:rPr>
              <w:t>2）遵守宪法和法律，具有良好的道德品质；</w:t>
            </w:r>
          </w:p>
          <w:p>
            <w:pPr>
              <w:pStyle w:val="null3"/>
            </w:pPr>
            <w:r>
              <w:rPr>
                <w:rFonts w:ascii="仿宋_GB2312" w:hAnsi="仿宋_GB2312" w:cs="仿宋_GB2312" w:eastAsia="仿宋_GB2312"/>
              </w:rPr>
              <w:t>3）年龄50周岁以下；</w:t>
            </w:r>
          </w:p>
          <w:p>
            <w:pPr>
              <w:pStyle w:val="null3"/>
            </w:pPr>
            <w:r>
              <w:rPr>
                <w:rFonts w:ascii="仿宋_GB2312" w:hAnsi="仿宋_GB2312" w:cs="仿宋_GB2312" w:eastAsia="仿宋_GB2312"/>
              </w:rPr>
              <w:t>4）有从事幼儿园工作经历，掌握幼儿心理学、教育学、卫生学等专业理论及幼儿园各科教学法，保教保育技能突出；</w:t>
            </w:r>
          </w:p>
          <w:p>
            <w:pPr>
              <w:pStyle w:val="null3"/>
            </w:pPr>
            <w:r>
              <w:rPr>
                <w:rFonts w:ascii="仿宋_GB2312" w:hAnsi="仿宋_GB2312" w:cs="仿宋_GB2312" w:eastAsia="仿宋_GB2312"/>
              </w:rPr>
              <w:t>5）身体健康，体检合格，具备应聘岗位所需的心理素质、专业知识、学历要求和其他条件；</w:t>
            </w:r>
          </w:p>
          <w:p>
            <w:pPr>
              <w:pStyle w:val="null3"/>
            </w:pPr>
            <w:r>
              <w:rPr>
                <w:rFonts w:ascii="仿宋_GB2312" w:hAnsi="仿宋_GB2312" w:cs="仿宋_GB2312" w:eastAsia="仿宋_GB2312"/>
              </w:rPr>
              <w:t>6）热爱教育事业，爱护幼童，有耐心、有爱心，活泼开朗，能歌善舞。</w:t>
            </w:r>
          </w:p>
          <w:p>
            <w:pPr>
              <w:pStyle w:val="null3"/>
            </w:pPr>
            <w:r>
              <w:rPr>
                <w:rFonts w:ascii="仿宋_GB2312" w:hAnsi="仿宋_GB2312" w:cs="仿宋_GB2312" w:eastAsia="仿宋_GB2312"/>
              </w:rPr>
              <w:t>（</w:t>
            </w:r>
            <w:r>
              <w:rPr>
                <w:rFonts w:ascii="仿宋_GB2312" w:hAnsi="仿宋_GB2312" w:cs="仿宋_GB2312" w:eastAsia="仿宋_GB2312"/>
              </w:rPr>
              <w:t>2）学历专业要求</w:t>
            </w:r>
          </w:p>
          <w:p>
            <w:pPr>
              <w:pStyle w:val="null3"/>
            </w:pPr>
            <w:r>
              <w:rPr>
                <w:rFonts w:ascii="仿宋_GB2312" w:hAnsi="仿宋_GB2312" w:cs="仿宋_GB2312" w:eastAsia="仿宋_GB2312"/>
              </w:rPr>
              <w:t>1）具有学前教育或相关教育专业大专及以上学历；</w:t>
            </w:r>
          </w:p>
          <w:p>
            <w:pPr>
              <w:pStyle w:val="null3"/>
            </w:pPr>
            <w:r>
              <w:rPr>
                <w:rFonts w:ascii="仿宋_GB2312" w:hAnsi="仿宋_GB2312" w:cs="仿宋_GB2312" w:eastAsia="仿宋_GB2312"/>
              </w:rPr>
              <w:t>2）取得幼儿园及以上教师资格证等相关证书。</w:t>
            </w:r>
          </w:p>
          <w:p>
            <w:pPr>
              <w:pStyle w:val="null3"/>
            </w:pPr>
            <w:r>
              <w:rPr>
                <w:rFonts w:ascii="仿宋_GB2312" w:hAnsi="仿宋_GB2312" w:cs="仿宋_GB2312" w:eastAsia="仿宋_GB2312"/>
                <w:b/>
              </w:rPr>
              <w:t>*</w:t>
            </w:r>
            <w:r>
              <w:rPr>
                <w:rFonts w:ascii="仿宋_GB2312" w:hAnsi="仿宋_GB2312" w:cs="仿宋_GB2312" w:eastAsia="仿宋_GB2312"/>
              </w:rPr>
              <w:t>（</w:t>
            </w:r>
            <w:r>
              <w:rPr>
                <w:rFonts w:ascii="仿宋_GB2312" w:hAnsi="仿宋_GB2312" w:cs="仿宋_GB2312" w:eastAsia="仿宋_GB2312"/>
              </w:rPr>
              <w:t>3）工资待遇</w:t>
            </w:r>
          </w:p>
          <w:p>
            <w:pPr>
              <w:pStyle w:val="null3"/>
            </w:pPr>
            <w:r>
              <w:rPr>
                <w:rFonts w:ascii="仿宋_GB2312" w:hAnsi="仿宋_GB2312" w:cs="仿宋_GB2312" w:eastAsia="仿宋_GB2312"/>
              </w:rPr>
              <w:t>临聘幼儿教师按照人均每月工资</w:t>
            </w:r>
            <w:r>
              <w:rPr>
                <w:rFonts w:ascii="仿宋_GB2312" w:hAnsi="仿宋_GB2312" w:cs="仿宋_GB2312" w:eastAsia="仿宋_GB2312"/>
              </w:rPr>
              <w:t>3500元（含社保费用，实际费用随社会保险基数调整）。</w:t>
            </w:r>
          </w:p>
          <w:p>
            <w:pPr>
              <w:pStyle w:val="null3"/>
            </w:pPr>
            <w:r>
              <w:rPr>
                <w:rFonts w:ascii="仿宋_GB2312" w:hAnsi="仿宋_GB2312" w:cs="仿宋_GB2312" w:eastAsia="仿宋_GB2312"/>
              </w:rPr>
              <w:t>（</w:t>
            </w:r>
            <w:r>
              <w:rPr>
                <w:rFonts w:ascii="仿宋_GB2312" w:hAnsi="仿宋_GB2312" w:cs="仿宋_GB2312" w:eastAsia="仿宋_GB2312"/>
              </w:rPr>
              <w:t>4）日常管理</w:t>
            </w:r>
          </w:p>
          <w:p>
            <w:pPr>
              <w:pStyle w:val="null3"/>
            </w:pPr>
            <w:r>
              <w:rPr>
                <w:rFonts w:ascii="仿宋_GB2312" w:hAnsi="仿宋_GB2312" w:cs="仿宋_GB2312" w:eastAsia="仿宋_GB2312"/>
              </w:rPr>
              <w:t>临聘幼儿教师实行合同管理，由第三方劳务公司与派遣人员签订劳务合同，为期一年。</w:t>
            </w:r>
          </w:p>
          <w:p>
            <w:pPr>
              <w:pStyle w:val="null3"/>
            </w:pPr>
            <w:r>
              <w:rPr>
                <w:rFonts w:ascii="仿宋_GB2312" w:hAnsi="仿宋_GB2312" w:cs="仿宋_GB2312" w:eastAsia="仿宋_GB2312"/>
                <w:sz w:val="21"/>
                <w:b/>
              </w:rPr>
              <w:t>注：以</w:t>
            </w:r>
            <w:r>
              <w:rPr>
                <w:rFonts w:ascii="仿宋_GB2312" w:hAnsi="仿宋_GB2312" w:cs="仿宋_GB2312" w:eastAsia="仿宋_GB2312"/>
                <w:sz w:val="21"/>
                <w:b/>
              </w:rPr>
              <w:t>“*”号标记的条款</w:t>
            </w:r>
            <w:r>
              <w:rPr>
                <w:rFonts w:ascii="仿宋_GB2312" w:hAnsi="仿宋_GB2312" w:cs="仿宋_GB2312" w:eastAsia="仿宋_GB2312"/>
                <w:sz w:val="21"/>
                <w:b/>
              </w:rPr>
              <w:t>为不允许偏离的实质性要求和条件，不满足实质性要求和条件的投标为无效投标。请各供应商在招标文件格式相关表格中按要求进行响应。</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具有履行合同所必需的专业技术能力人员</w:t>
      </w:r>
    </w:p>
    <w:p>
      <w:pPr>
        <w:pStyle w:val="null3"/>
        <w:outlineLvl w:val="3"/>
      </w:pPr>
      <w:r>
        <w:rPr>
          <w:rFonts w:ascii="仿宋_GB2312" w:hAnsi="仿宋_GB2312" w:cs="仿宋_GB2312" w:eastAsia="仿宋_GB2312"/>
          <w:sz w:val="24"/>
          <w:b/>
        </w:rPr>
        <w:t>3.2.4设施设备配置要求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具有履行合同所必需的设施设备</w:t>
      </w:r>
    </w:p>
    <w:p>
      <w:pPr>
        <w:pStyle w:val="null3"/>
        <w:outlineLvl w:val="3"/>
      </w:pPr>
      <w:r>
        <w:rPr>
          <w:rFonts w:ascii="仿宋_GB2312" w:hAnsi="仿宋_GB2312" w:cs="仿宋_GB2312" w:eastAsia="仿宋_GB2312"/>
          <w:sz w:val="24"/>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根据乙方上月实际派遣的员工数量，据实结算，于次月支付上月工资及管理费，乙方提供等额且符合税法要求的正式发票后，甲方在收到发票</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详见招标文件及合同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（1）支付约定（以下述内容为准）： 1）合同签订后，根据乙方实际派遣的员工数，按照服务合同具体约定的金额，按月支付。 2）支付方式：银行转账。 3）结算方式：根据乙方上月实际派遣的员工数量，据实结算，于次月支付上月工资及管理费，乙方提供等额且符合税法要求的正式发票后，甲方在收到发票的5个工作日内（遇节假日则顺延）进行支付。 （2）供应商需要在线提交所有通过电子化交易平台实施的政府采购项目的投标文件，同时，线下递交投标文件，正本壹份、副本贰份，随正本密封。若线上电子投标文件与纸质投标文件不一致以电子投标文件为准；若正本和副本不符，以正本为准。线下递交时间同线上投标文件递交截止时间；线下递交文件地点：陕西省西安市碑林区长安北路（南稍门十字）大话南门壹中心13楼1309室。 （3）投标报价说明 1）本项目总预算（限价）330万元，管理费预算（限价）15万元，投标人的投标报价或管理费报价高于对应限价的其投标文件将按无效处理。 2）人员工资为固定金额，不做竞争，如擅自改动，其投标文件按无效处理。 3）本合同为固定单价合同，包括人员工资及管理费，根据乙方实际派遣的员工数量，据实结算。人员工资包括：临聘教师的工资（含社保费用，实际费用随社会保险基数调整）；乙方管理费包括：服务费、税费及完成合同所需的一切费用。在合同服务期间内不得违反国家相关政策规定。</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 应具备《中华人民共和国政府采购法》第二十二条规定的条件： (1)有效的主体资格证明：供应商为具有独立承担民事责任能力的法人、其他组织或自然人，并出具合法有效的营业执照或事业单位法人证书等国家规定的相关证明，自然人参与的提供其身份证明； (2)财务状况报告：供应商提供经审计的2024年度的财务报告或提交投标文件截止时间前六个月内其基本账户开户银行出具的资信证明（附基本存款账户信息）； (3)税收缴纳证明：提供响应文件递交截止日前一年内已缴存的至少一个月的纳税证明或完税证明（增值税、企业所得税至少提供一种），纳税证明或完税证明上应有代收机构或税务机关的公章或业务专用章。依法免税或无须缴纳税收的单位应提供相应证明文件； (4)社会保障资金缴纳证明：提供响应文件递交截止日前一年内已缴存的至少一个月的社会保障资金缴存单据或社保机构开具的社会保险参保缴费情况证明，单据或证明上应有社保机构或代收机构的公章或业务专用章，依法不需要缴纳社会保障资金的单位应提供相关证明材料； (5)书面声明：供应商参加本次政府采购活动前3年内在经营活动中没有重大违法记录，以及未被列入失信被执行人、重大税收违法案件当事人名单、政府采购严重违法失信行为记录名单的书面声明； (6)履行合同的承诺及说明：供应商提供具有履行合同所必须的设备和专业技术能力的承诺及说明。</w:t>
            </w:r>
          </w:p>
        </w:tc>
        <w:tc>
          <w:tcPr>
            <w:tcW w:type="dxa" w:w="1661"/>
          </w:tcPr>
          <w:p>
            <w:pPr>
              <w:pStyle w:val="null3"/>
            </w:pPr>
            <w:r>
              <w:rPr>
                <w:rFonts w:ascii="仿宋_GB2312" w:hAnsi="仿宋_GB2312" w:cs="仿宋_GB2312" w:eastAsia="仿宋_GB2312"/>
              </w:rPr>
              <w:t>供应商应提交的相关资格证明材料.docx 投标函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供应商应提交的相关资格证明材料.docx 中小企业声明函 残疾人福利性单位声明函 投标文件封面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供应商应提交的相关资格证明材料.docx 投标函 残疾人福利性单位声明函 中小企业声明函 投标文件封面 监狱企业的证明文件</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供应商应授权合法的人员参与投标全过程，其中法定代表人直接投标，须附法定代表人身份证明书。法定代表人授权代表参加投标的，须附法定代表人授权书；</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信用记录</w:t>
            </w:r>
          </w:p>
        </w:tc>
        <w:tc>
          <w:tcPr>
            <w:tcW w:type="dxa" w:w="3322"/>
          </w:tcPr>
          <w:p>
            <w:pPr>
              <w:pStyle w:val="null3"/>
            </w:pPr>
            <w:r>
              <w:rPr>
                <w:rFonts w:ascii="仿宋_GB2312" w:hAnsi="仿宋_GB2312" w:cs="仿宋_GB2312" w:eastAsia="仿宋_GB2312"/>
              </w:rPr>
              <w:t>供应商应在信用中国、中国执行信息公开网和中国政府采购网（www.ccgp.gov.cn）可查询信用记录，并且未被列入失信被执行人、重大税收违法案件当事人名单、政府采购严重违法失信行为记录名单等，以投标当日现场查询结果截图形式留存。</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关联关系</w:t>
            </w:r>
          </w:p>
        </w:tc>
        <w:tc>
          <w:tcPr>
            <w:tcW w:type="dxa" w:w="3322"/>
          </w:tcPr>
          <w:p>
            <w:pPr>
              <w:pStyle w:val="null3"/>
            </w:pPr>
            <w:r>
              <w:rPr>
                <w:rFonts w:ascii="仿宋_GB2312" w:hAnsi="仿宋_GB2312" w:cs="仿宋_GB2312" w:eastAsia="仿宋_GB2312"/>
              </w:rPr>
              <w:t>单位负责人为同一人或者存在直接控股、管理关系的不同供应商，不得参加同一合同项下的政府采购活动。</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劳务派遣经营许可证</w:t>
            </w:r>
          </w:p>
        </w:tc>
        <w:tc>
          <w:tcPr>
            <w:tcW w:type="dxa" w:w="3322"/>
          </w:tcPr>
          <w:p>
            <w:pPr>
              <w:pStyle w:val="null3"/>
            </w:pPr>
            <w:r>
              <w:rPr>
                <w:rFonts w:ascii="仿宋_GB2312" w:hAnsi="仿宋_GB2312" w:cs="仿宋_GB2312" w:eastAsia="仿宋_GB2312"/>
              </w:rPr>
              <w:t>供应商具有行业行政主管部门颁发的《劳务派遣经营许可证》</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联合体</w:t>
            </w:r>
          </w:p>
        </w:tc>
        <w:tc>
          <w:tcPr>
            <w:tcW w:type="dxa" w:w="3322"/>
          </w:tcPr>
          <w:p>
            <w:pPr>
              <w:pStyle w:val="null3"/>
            </w:pPr>
            <w:r>
              <w:rPr>
                <w:rFonts w:ascii="仿宋_GB2312" w:hAnsi="仿宋_GB2312" w:cs="仿宋_GB2312" w:eastAsia="仿宋_GB2312"/>
              </w:rPr>
              <w:t>本项目不接受联合体投标。</w:t>
            </w:r>
          </w:p>
        </w:tc>
        <w:tc>
          <w:tcPr>
            <w:tcW w:type="dxa" w:w="1661"/>
          </w:tcPr>
          <w:p>
            <w:pPr>
              <w:pStyle w:val="null3"/>
            </w:pPr>
            <w:r>
              <w:rPr>
                <w:rFonts w:ascii="仿宋_GB2312" w:hAnsi="仿宋_GB2312" w:cs="仿宋_GB2312" w:eastAsia="仿宋_GB2312"/>
              </w:rPr>
              <w:t>供应商应提交的相关资格证明材料.docx 投标函</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参与的供应商（联合体）服务全部由符合政策要求的小微企业承接。</w:t>
            </w:r>
          </w:p>
        </w:tc>
        <w:tc>
          <w:tcPr>
            <w:tcW w:type="dxa" w:w="1661"/>
          </w:tcPr>
          <w:p>
            <w:pPr>
              <w:pStyle w:val="null3"/>
            </w:pPr>
            <w:r>
              <w:rPr>
                <w:rFonts w:ascii="仿宋_GB2312" w:hAnsi="仿宋_GB2312" w:cs="仿宋_GB2312" w:eastAsia="仿宋_GB2312"/>
              </w:rPr>
              <w:t>供应商应提交的相关资格证明材料.docx 投标函 中小企业声明函 残疾人福利性单位声明函 监狱企业的证明文件</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 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四、本项目采取电子评审，通过项目电子化交易系统完成评审工作。评标委员会成员、采购人、代理机构和投标人应当按照本招标文件规定和项目电子化交易系统操作要求开展或者参加评标活动。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（三）根据需要要求采购组织单位对招标文件作出解释；根据需要要求供应商对投标文件有关事项作出 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依据财政部关于《推动解决政府采购异常低价问题的通知》（财库〔2026〕2号）文，在评标过程中，评标委员会认为投标人报价明显低于其他实质性响应的投标人报价，有可能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投标文件有效期</w:t>
            </w:r>
          </w:p>
        </w:tc>
        <w:tc>
          <w:tcPr>
            <w:tcW w:type="dxa" w:w="3322"/>
          </w:tcPr>
          <w:p>
            <w:pPr>
              <w:pStyle w:val="null3"/>
            </w:pPr>
            <w:r>
              <w:rPr>
                <w:rFonts w:ascii="仿宋_GB2312" w:hAnsi="仿宋_GB2312" w:cs="仿宋_GB2312" w:eastAsia="仿宋_GB2312"/>
              </w:rPr>
              <w:t>有效期满足招标文件要求</w:t>
            </w:r>
          </w:p>
        </w:tc>
        <w:tc>
          <w:tcPr>
            <w:tcW w:type="dxa" w:w="1661"/>
          </w:tcPr>
          <w:p>
            <w:pPr>
              <w:pStyle w:val="null3"/>
            </w:pPr>
            <w:r>
              <w:rPr>
                <w:rFonts w:ascii="仿宋_GB2312" w:hAnsi="仿宋_GB2312" w:cs="仿宋_GB2312" w:eastAsia="仿宋_GB2312"/>
              </w:rPr>
              <w:t>供应商应提交的相关资格证明材料.docx 投标函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报价</w:t>
            </w:r>
          </w:p>
        </w:tc>
        <w:tc>
          <w:tcPr>
            <w:tcW w:type="dxa" w:w="3322"/>
          </w:tcPr>
          <w:p>
            <w:pPr>
              <w:pStyle w:val="null3"/>
            </w:pPr>
            <w:r>
              <w:rPr>
                <w:rFonts w:ascii="仿宋_GB2312" w:hAnsi="仿宋_GB2312" w:cs="仿宋_GB2312" w:eastAsia="仿宋_GB2312"/>
              </w:rPr>
              <w:t>投标报价唯一且未超过预算金额（招标文件有最高限价的，报价未超过最高限价）</w:t>
            </w:r>
          </w:p>
        </w:tc>
        <w:tc>
          <w:tcPr>
            <w:tcW w:type="dxa" w:w="1661"/>
          </w:tcPr>
          <w:p>
            <w:pPr>
              <w:pStyle w:val="null3"/>
            </w:pPr>
            <w:r>
              <w:rPr>
                <w:rFonts w:ascii="仿宋_GB2312" w:hAnsi="仿宋_GB2312" w:cs="仿宋_GB2312" w:eastAsia="仿宋_GB2312"/>
              </w:rPr>
              <w:t>分项报价表.docx 投标函 中小企业声明函 残疾人福利性单位声明函 标的清单 监狱企业的证明文件</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对招标文件响应程度</w:t>
            </w:r>
          </w:p>
        </w:tc>
        <w:tc>
          <w:tcPr>
            <w:tcW w:type="dxa" w:w="3322"/>
          </w:tcPr>
          <w:p>
            <w:pPr>
              <w:pStyle w:val="null3"/>
            </w:pPr>
            <w:r>
              <w:rPr>
                <w:rFonts w:ascii="仿宋_GB2312" w:hAnsi="仿宋_GB2312" w:cs="仿宋_GB2312" w:eastAsia="仿宋_GB2312"/>
              </w:rPr>
              <w:t>投标文件不含有采购人不能接受的附加条件</w:t>
            </w:r>
          </w:p>
        </w:tc>
        <w:tc>
          <w:tcPr>
            <w:tcW w:type="dxa" w:w="1661"/>
          </w:tcPr>
          <w:p>
            <w:pPr>
              <w:pStyle w:val="null3"/>
            </w:pPr>
            <w:r>
              <w:rPr>
                <w:rFonts w:ascii="仿宋_GB2312" w:hAnsi="仿宋_GB2312" w:cs="仿宋_GB2312" w:eastAsia="仿宋_GB2312"/>
              </w:rPr>
              <w:t>分项报价表.docx 供应商应提交的相关资格证明材料.docx 投标函 中小企业声明函 残疾人福利性单位声明函 标的清单 投标文件封面 服务内容及服务邀请应答表.docx 商务应答表.docx 服务方案.docx 监狱企业的证明文件</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审，重新评审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三、评标方法和标准；</w:t>
      </w:r>
    </w:p>
    <w:p>
      <w:pPr>
        <w:pStyle w:val="null3"/>
        <w:ind w:firstLine="480"/>
      </w:pPr>
      <w:r>
        <w:rPr>
          <w:rFonts w:ascii="仿宋_GB2312" w:hAnsi="仿宋_GB2312" w:cs="仿宋_GB2312" w:eastAsia="仿宋_GB2312"/>
        </w:rPr>
        <w:t>四、开标记录和评标情况及说明，包括投标无效投标人名单及原因；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六、其他需要说明的情况，包括评标过程中投标人根据评标委员会要求进行的澄清、说明或者更正，评标委员会成员的更换等；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 xml:space="preserve"> （综合评分法适用）采用综合评分法的，由评标委员会各成员对通过资格检查和符合性审查的投标人的投标文件进行独立评审。</w:t>
      </w:r>
    </w:p>
    <w:p>
      <w:pPr>
        <w:pStyle w:val="null3"/>
        <w:ind w:firstLine="480"/>
      </w:pPr>
      <w:r>
        <w:rPr>
          <w:rFonts w:ascii="仿宋_GB2312" w:hAnsi="仿宋_GB2312" w:cs="仿宋_GB2312" w:eastAsia="仿宋_GB2312"/>
        </w:rPr>
        <w:t>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招聘服务方案</w:t>
            </w:r>
          </w:p>
        </w:tc>
        <w:tc>
          <w:tcPr>
            <w:tcW w:type="dxa" w:w="2492"/>
          </w:tcPr>
          <w:p>
            <w:pPr>
              <w:pStyle w:val="null3"/>
            </w:pPr>
            <w:r>
              <w:rPr>
                <w:rFonts w:ascii="仿宋_GB2312" w:hAnsi="仿宋_GB2312" w:cs="仿宋_GB2312" w:eastAsia="仿宋_GB2312"/>
              </w:rPr>
              <w:t>招聘全流程把控，网上公告发布、报名及简历筛选，资格审查及信息核对服务服务方案，根据服务内容，按差别计分，最高10分。 方案合理、完善、详尽，可行性强、针对性强得10分； 方案较合理、可行性较强得6分； 方案一般，基本合理、可行性一般得2分。无本项内容，得0分。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笔试服务方案</w:t>
            </w:r>
          </w:p>
        </w:tc>
        <w:tc>
          <w:tcPr>
            <w:tcW w:type="dxa" w:w="2492"/>
          </w:tcPr>
          <w:p>
            <w:pPr>
              <w:pStyle w:val="null3"/>
            </w:pPr>
            <w:r>
              <w:rPr>
                <w:rFonts w:ascii="仿宋_GB2312" w:hAnsi="仿宋_GB2312" w:cs="仿宋_GB2312" w:eastAsia="仿宋_GB2312"/>
              </w:rPr>
              <w:t>命制笔试试题及组织笔试服务方案，根据服务内容，按差别计分，最高10分。 方案合理、完善、详尽，可行性强、针对性强得10分； 方案较合理、可行性较强得6分； 方案一般，基本合理、可行性一般得2分。无本项内容，得0分。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面试服务方案</w:t>
            </w:r>
          </w:p>
        </w:tc>
        <w:tc>
          <w:tcPr>
            <w:tcW w:type="dxa" w:w="2492"/>
          </w:tcPr>
          <w:p>
            <w:pPr>
              <w:pStyle w:val="null3"/>
            </w:pPr>
            <w:r>
              <w:rPr>
                <w:rFonts w:ascii="仿宋_GB2312" w:hAnsi="仿宋_GB2312" w:cs="仿宋_GB2312" w:eastAsia="仿宋_GB2312"/>
              </w:rPr>
              <w:t>面试组织服务方案，根据服务内容，按差别计分，最高10分。 方案合理、完善、详尽，可行性强、针对性强得10分； 方案较合理、可行性较强得6分； 方案一般，基本合理、可行性一般得2分。无本项内容，得0分。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质量和进度保障</w:t>
            </w:r>
          </w:p>
        </w:tc>
        <w:tc>
          <w:tcPr>
            <w:tcW w:type="dxa" w:w="2492"/>
          </w:tcPr>
          <w:p>
            <w:pPr>
              <w:pStyle w:val="null3"/>
            </w:pPr>
            <w:r>
              <w:rPr>
                <w:rFonts w:ascii="仿宋_GB2312" w:hAnsi="仿宋_GB2312" w:cs="仿宋_GB2312" w:eastAsia="仿宋_GB2312"/>
              </w:rPr>
              <w:t>各供应商的质量保障体系和质量保障措施，包括但不限于成本控制、培训、场地和承担风险能力，确保项目进度的服务保障措施，服务保障措施合理可行，确保工作优质、高效、如期完成根据完善性、可行的进行综合考量，自主赋分，最高10分。 方案合理、完善、详尽，可行性强、针对性强得10分； 方案较合理、可行性较强得6分； 方案一般，基本合理、可行性一般得2分。无本项内容，得0分。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vMerge/>
          </w:tcPr>
          <w:p/>
        </w:tc>
        <w:tc>
          <w:tcPr>
            <w:tcW w:type="dxa" w:w="1661"/>
          </w:tcPr>
          <w:p>
            <w:pPr>
              <w:pStyle w:val="null3"/>
            </w:pPr>
            <w:r>
              <w:rPr>
                <w:rFonts w:ascii="仿宋_GB2312" w:hAnsi="仿宋_GB2312" w:cs="仿宋_GB2312" w:eastAsia="仿宋_GB2312"/>
              </w:rPr>
              <w:t>专家资源</w:t>
            </w:r>
          </w:p>
        </w:tc>
        <w:tc>
          <w:tcPr>
            <w:tcW w:type="dxa" w:w="2492"/>
          </w:tcPr>
          <w:p>
            <w:pPr>
              <w:pStyle w:val="null3"/>
            </w:pPr>
            <w:r>
              <w:rPr>
                <w:rFonts w:ascii="仿宋_GB2312" w:hAnsi="仿宋_GB2312" w:cs="仿宋_GB2312" w:eastAsia="仿宋_GB2312"/>
              </w:rPr>
              <w:t>结合项目的实际情况，具有一定数量的中高级职称教育专家，熟悉幼儿园教师招聘命题要求，具备自主命题、阅卷、面试的条件。根据响应情况计分，最高10分。专家资源丰富，方案合理、完善针对性、可行性强得10分； 专家资源较丰富，方案较合理，可行性较强得6分； 专家资源一般，方案宽泛，可行性一般得2分。无本项内容，得0分。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结合项目的实际情况，组织形式合理、结构清晰、项目组成人员职责任务明确、人员数量和人员专业结构配备合理。根据响应情况计分10分。人员配备方案合理、完善、详尽，可行性强、针对性强得10分；人员配备方案较合理、可行性较强得6分； 人员配备方案一般，基本合理、可行性一般得2分。无本项内容，得0分。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以供应商投标文件中所提供的近三年（2023年1月1日至投标文件递交截止时间，以合同签订时间为准）类似项目业绩合同复印件（加盖公章）为准进行评审打分，每提供一项业绩合同得2分，本项最高得分为10分。未提供业绩合同复印件者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根据培训方案内容，按差别计分，最高5分。 培训方案合理、完善、详尽，可行性强得5分； 培训方案较合理、可行性较强得3分； 培训方案一般合理、可行性一般得1分。无本项内容，得0分。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应急（突发）事件的处置措施，突发应急预案合理、完善、详尽，可行性强得5分； 突发应急预案较合理、可行性较强得3分； 突发应急预案一般合理、可行性一般得1分。无本项内容，得0分。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服务内容及服务邀请应答表.docx</w:t>
            </w:r>
          </w:p>
        </w:tc>
      </w:tr>
      <w:tr>
        <w:tc>
          <w:tcPr>
            <w:tcW w:type="dxa" w:w="831"/>
            <w:vMerge/>
          </w:tcPr>
          <w:p/>
        </w:tc>
        <w:tc>
          <w:tcPr>
            <w:tcW w:type="dxa" w:w="1661"/>
          </w:tcPr>
          <w:p>
            <w:pPr>
              <w:pStyle w:val="null3"/>
            </w:pPr>
            <w:r>
              <w:rPr>
                <w:rFonts w:ascii="仿宋_GB2312" w:hAnsi="仿宋_GB2312" w:cs="仿宋_GB2312" w:eastAsia="仿宋_GB2312"/>
              </w:rPr>
              <w:t>保密制度</w:t>
            </w:r>
          </w:p>
        </w:tc>
        <w:tc>
          <w:tcPr>
            <w:tcW w:type="dxa" w:w="2492"/>
          </w:tcPr>
          <w:p>
            <w:pPr>
              <w:pStyle w:val="null3"/>
            </w:pPr>
            <w:r>
              <w:rPr>
                <w:rFonts w:ascii="仿宋_GB2312" w:hAnsi="仿宋_GB2312" w:cs="仿宋_GB2312" w:eastAsia="仿宋_GB2312"/>
              </w:rPr>
              <w:t>具有完善的保密制度和档案资料管理制度，根据响应情况计5分。 方案合理、完善、详尽，可行性强得5分； 方案较合理、可行性较强得3分； 方案案一般合理、可行性一般得1分。无本项内容，得0分。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服务方案.docx</w:t>
            </w:r>
          </w:p>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根据各供应商服务承诺，本着承诺事项具体、可行、可操作性强、可信度高等，进行综合考量，自主赋分，最高5分。 服务承诺方案合理、完善、详尽，可行性强得5分； 服务承诺方案较合理、可行性较强得3； 服务承诺方案一般合理、可行性一般得1分。无本项内容，得0分。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服务内容及服务邀请应答表.docx</w:t>
            </w:r>
          </w:p>
          <w:p>
            <w:pPr>
              <w:pStyle w:val="null3"/>
            </w:pPr>
            <w:r>
              <w:rPr>
                <w:rFonts w:ascii="仿宋_GB2312" w:hAnsi="仿宋_GB2312" w:cs="仿宋_GB2312" w:eastAsia="仿宋_GB2312"/>
              </w:rPr>
              <w:t>商务应答表.docx</w:t>
            </w:r>
          </w:p>
          <w:p>
            <w:pPr>
              <w:pStyle w:val="null3"/>
            </w:pPr>
            <w:r>
              <w:rPr>
                <w:rFonts w:ascii="仿宋_GB2312" w:hAnsi="仿宋_GB2312" w:cs="仿宋_GB2312" w:eastAsia="仿宋_GB2312"/>
              </w:rPr>
              <w:t>服务方案.docx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经资格审查、符合性审查合格的响应文件，其投标报价为有效报价。2.满足招标文件要求且投标报价最低的供应商的价格为基准价，其价格得分为满分。其他供应商的价格得分统一按照下列公式计算:投标报价得分=投标基准价/投标报价)x价格权值x100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监狱企业的证明文件</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2、评分标准中要求提供的证明材料须清晰可辨。</w:t>
      </w:r>
    </w:p>
    <w:p>
      <w:pPr>
        <w:pStyle w:val="null3"/>
        <w:ind w:firstLine="480"/>
      </w:pPr>
      <w:r>
        <w:rPr>
          <w:rFonts w:ascii="仿宋_GB2312" w:hAnsi="仿宋_GB2312" w:cs="仿宋_GB2312" w:eastAsia="仿宋_GB2312"/>
        </w:rPr>
        <w:t xml:space="preserve"> （最低评标价法适用）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废标后，代理机构将在陕西省政府采购网上公告。对于评标过程中废标的采购项目，评标委员会应当对招标文件是否存在倾向性和歧视性、是否存在不合理条款进行论证，并出具书面论证意见。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（二）评标前，应当将通讯工具或者相关电子设备交由采购组织单位统一保管。</w:t>
      </w:r>
    </w:p>
    <w:p>
      <w:pPr>
        <w:pStyle w:val="null3"/>
        <w:ind w:firstLine="480"/>
      </w:pPr>
      <w:r>
        <w:rPr>
          <w:rFonts w:ascii="仿宋_GB2312" w:hAnsi="仿宋_GB2312" w:cs="仿宋_GB2312" w:eastAsia="仿宋_GB2312"/>
        </w:rPr>
        <w:t>（三）评标过程中，不得与外界联系，因发生不可预见情况，确实需要与外界联系的，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（四）评标过程中，不得干预或者影响正常评标工作，不得发表倾向性、引导性意见， 不得修改或细化招标文件确定的评标程序、评标方法、评审因素和评审标准，不得接受供应商主动提出的澄清和解释，不得征询采购人代表的意见，不得协商评分，不得违反规定的评审格式评分和撰写评标意见，不得拒绝对自己的评标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第6章投标文件格式</w:t>
      </w:r>
    </w:p>
    <w:p>
      <w:pPr>
        <w:pStyle w:val="null3"/>
        <w:outlineLvl w:val="2"/>
      </w:pPr>
      <w:r>
        <w:rPr>
          <w:rFonts w:ascii="仿宋_GB2312" w:hAnsi="仿宋_GB2312" w:cs="仿宋_GB2312" w:eastAsia="仿宋_GB2312"/>
          <w:sz w:val="28"/>
          <w:b/>
        </w:rPr>
        <w:t>6.1投标文件封面格式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详见附件：服务方案.docx</w:t>
      </w:r>
    </w:p>
    <w:p>
      <w:pPr>
        <w:pStyle w:val="null3"/>
        <w:ind w:firstLine="960"/>
      </w:pPr>
      <w:r>
        <w:rPr>
          <w:rFonts w:ascii="仿宋_GB2312" w:hAnsi="仿宋_GB2312" w:cs="仿宋_GB2312" w:eastAsia="仿宋_GB2312"/>
        </w:rPr>
        <w:t>详见附件：服务内容及服务邀请应答表.docx</w:t>
      </w:r>
    </w:p>
    <w:p>
      <w:pPr>
        <w:pStyle w:val="null3"/>
        <w:ind w:firstLine="960"/>
      </w:pPr>
      <w:r>
        <w:rPr>
          <w:rFonts w:ascii="仿宋_GB2312" w:hAnsi="仿宋_GB2312" w:cs="仿宋_GB2312" w:eastAsia="仿宋_GB2312"/>
        </w:rPr>
        <w:t>详见附件：商务应答表.docx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第7章 拟签订采购合同文本</w:t>
      </w:r>
    </w:p>
    <w:p>
      <w:pPr>
        <w:pStyle w:val="null3"/>
      </w:pPr>
      <w:r>
        <w:rPr>
          <w:rFonts w:ascii="仿宋_GB2312" w:hAnsi="仿宋_GB2312" w:cs="仿宋_GB2312" w:eastAsia="仿宋_GB2312"/>
        </w:rPr>
        <w:t>详见附件：合同.docx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