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版本号：DDXM2026-00320260413001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临潼区农村非法建住宅整治工作专班图斑核查服务项目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DDXM2026-003</w:t>
      </w:r>
      <w:r>
        <w:br/>
      </w:r>
      <w:r>
        <w:br/>
      </w:r>
      <w:r>
        <w:br/>
      </w:r>
    </w:p>
    <w:p>
      <w:pPr>
        <w:pStyle w:val="null3"/>
        <w:jc w:val="center"/>
        <w:outlineLvl w:val="2"/>
      </w:pPr>
      <w:r>
        <w:rPr>
          <w:rFonts w:ascii="仿宋_GB2312" w:hAnsi="仿宋_GB2312" w:cs="仿宋_GB2312" w:eastAsia="仿宋_GB2312"/>
          <w:sz w:val="28"/>
          <w:b/>
        </w:rPr>
        <w:t>西安市临潼区农业综合执法大队</w:t>
      </w:r>
    </w:p>
    <w:p>
      <w:pPr>
        <w:pStyle w:val="null3"/>
        <w:jc w:val="center"/>
        <w:outlineLvl w:val="2"/>
      </w:pPr>
      <w:r>
        <w:rPr>
          <w:rFonts w:ascii="仿宋_GB2312" w:hAnsi="仿宋_GB2312" w:cs="仿宋_GB2312" w:eastAsia="仿宋_GB2312"/>
          <w:sz w:val="28"/>
          <w:b/>
        </w:rPr>
        <w:t>陕西鼎端项目管理咨询有限公司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陕西鼎端项目管理咨询有限公司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西安市临潼区农业综合执法大队</w:t>
      </w:r>
      <w:r>
        <w:rPr>
          <w:rFonts w:ascii="仿宋_GB2312" w:hAnsi="仿宋_GB2312" w:cs="仿宋_GB2312" w:eastAsia="仿宋_GB2312"/>
        </w:rPr>
        <w:t>委托，拟对</w:t>
      </w:r>
      <w:r>
        <w:rPr>
          <w:rFonts w:ascii="仿宋_GB2312" w:hAnsi="仿宋_GB2312" w:cs="仿宋_GB2312" w:eastAsia="仿宋_GB2312"/>
        </w:rPr>
        <w:t>临潼区农村非法建住宅整治工作专班图斑核查服务项目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DDXM2026-003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临潼区农村非法建住宅整治工作专班图斑核查服务项目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本项目为临潼区农村非法建住宅整治工作专班图斑核查服务项目，具体内容详见采购需求。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采购包1（临潼区农村非法建住宅整治工作专班图斑核查服务项目）：属于专门面向中小企业采购。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3、税收缴纳证明：税收缴纳证明：提供2025年10月至今已缴纳的至少一个月的纳税证明，依法免税的单位应提供相关证明材料；</w:t>
      </w:r>
    </w:p>
    <w:p>
      <w:pPr>
        <w:pStyle w:val="null3"/>
      </w:pPr>
      <w:r>
        <w:rPr>
          <w:rFonts w:ascii="仿宋_GB2312" w:hAnsi="仿宋_GB2312" w:cs="仿宋_GB2312" w:eastAsia="仿宋_GB2312"/>
        </w:rPr>
        <w:t>4、社会保障资金缴纳证明：社会保障资金缴纳证明：提供2025年10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5、信用记录：信用记录：供应商未被列入信用中国网站(www.creditchina.gov.cn)“失信被执行人、重大税收违法失信主体”；未被列入中国政府采购网(www.ccgp.gov.cn)“政府采购严重违法失信行为信息记录”；</w:t>
      </w:r>
    </w:p>
    <w:p>
      <w:pPr>
        <w:pStyle w:val="null3"/>
      </w:pPr>
      <w:r>
        <w:rPr>
          <w:rFonts w:ascii="仿宋_GB2312" w:hAnsi="仿宋_GB2312" w:cs="仿宋_GB2312" w:eastAsia="仿宋_GB2312"/>
        </w:rPr>
        <w:t>6、书面声明：书面声明：参加政府采购活动前三年内，在经营活动中没有重大违法记录的书面声明；</w:t>
      </w:r>
    </w:p>
    <w:p>
      <w:pPr>
        <w:pStyle w:val="null3"/>
      </w:pPr>
      <w:r>
        <w:rPr>
          <w:rFonts w:ascii="仿宋_GB2312" w:hAnsi="仿宋_GB2312" w:cs="仿宋_GB2312" w:eastAsia="仿宋_GB2312"/>
        </w:rPr>
        <w:t>7、承诺函：承诺函：具备履行合同所必须的设备和专业技术能力的书面声明；</w:t>
      </w:r>
    </w:p>
    <w:p>
      <w:pPr>
        <w:pStyle w:val="null3"/>
      </w:pPr>
      <w:r>
        <w:rPr>
          <w:rFonts w:ascii="仿宋_GB2312" w:hAnsi="仿宋_GB2312" w:cs="仿宋_GB2312" w:eastAsia="仿宋_GB2312"/>
        </w:rPr>
        <w:t>8、法定代表人授权委托书：法定代表人授权委托书：法定代表人授权委托书、被授权人身份证（法定代表人参加磋商时,只需提供法定代表人身份证）；</w:t>
      </w:r>
    </w:p>
    <w:p>
      <w:pPr>
        <w:pStyle w:val="null3"/>
      </w:pPr>
      <w:r>
        <w:rPr>
          <w:rFonts w:ascii="仿宋_GB2312" w:hAnsi="仿宋_GB2312" w:cs="仿宋_GB2312" w:eastAsia="仿宋_GB2312"/>
        </w:rPr>
        <w:t>9、控股、管理关系：控股、管理关系：单位负责人不得为同一人或者存在直接控股、管理关系；</w:t>
      </w:r>
    </w:p>
    <w:p>
      <w:pPr>
        <w:pStyle w:val="null3"/>
      </w:pPr>
      <w:r>
        <w:rPr>
          <w:rFonts w:ascii="仿宋_GB2312" w:hAnsi="仿宋_GB2312" w:cs="仿宋_GB2312" w:eastAsia="仿宋_GB2312"/>
        </w:rPr>
        <w:t>10、供应商资质：供应商资质：供应商应具有有效期内的乙级以上（含乙级）测绘资质；</w:t>
      </w:r>
    </w:p>
    <w:p>
      <w:pPr>
        <w:pStyle w:val="null3"/>
      </w:pPr>
      <w:r>
        <w:rPr>
          <w:rFonts w:ascii="仿宋_GB2312" w:hAnsi="仿宋_GB2312" w:cs="仿宋_GB2312" w:eastAsia="仿宋_GB2312"/>
        </w:rPr>
        <w:t>11、不接受联合体磋商：不接受联合体磋商：本项目不接受联合体磋商；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西安市临潼区农业综合执法大队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西安市临潼区银桥大道种子管理站大楼五楼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029-83870518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陕西鼎端项目管理咨询有限公司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陕西省西安市未央区北三环与文景路辅路一方中港国际B座2205室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陈晶晶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029-86472188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改革委办公厅颁发的《关于招标代理服务收费有关问题的通知》（发改办价格[2003]857号）的有关规定执行。 缴纳方式：银行转账 户 名：陕西鼎端项目管理咨询有限公司 开户银行：招商银行股份有限公司西安朝阳门支行 账 号：1299 1534 0710 401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西安市临潼区农业综合执法大队</w:t>
      </w:r>
      <w:r>
        <w:rPr>
          <w:rFonts w:ascii="仿宋_GB2312" w:hAnsi="仿宋_GB2312" w:cs="仿宋_GB2312" w:eastAsia="仿宋_GB2312"/>
        </w:rPr>
        <w:t>和</w:t>
      </w:r>
      <w:r>
        <w:rPr>
          <w:rFonts w:ascii="仿宋_GB2312" w:hAnsi="仿宋_GB2312" w:cs="仿宋_GB2312" w:eastAsia="仿宋_GB2312"/>
        </w:rPr>
        <w:t>陕西鼎端项目管理咨询有限公司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西安市临潼区农业综合执法大队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陕西鼎端项目管理咨询有限公司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西安市临潼区农业综合执法大队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陕西鼎端项目管理咨询有限公司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联系人：陈晶晶</w:t>
      </w:r>
    </w:p>
    <w:p>
      <w:pPr>
        <w:pStyle w:val="null3"/>
      </w:pPr>
      <w:r>
        <w:rPr>
          <w:rFonts w:ascii="仿宋_GB2312" w:hAnsi="仿宋_GB2312" w:cs="仿宋_GB2312" w:eastAsia="仿宋_GB2312"/>
        </w:rPr>
        <w:t>联系电话：029-86472188</w:t>
      </w:r>
    </w:p>
    <w:p>
      <w:pPr>
        <w:pStyle w:val="null3"/>
      </w:pPr>
      <w:r>
        <w:rPr>
          <w:rFonts w:ascii="仿宋_GB2312" w:hAnsi="仿宋_GB2312" w:cs="仿宋_GB2312" w:eastAsia="仿宋_GB2312"/>
        </w:rPr>
        <w:t>地址：陕西省西安市未央区北三环与文景路辅路一方中港国际B座2205室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本项目为临潼区农村非法建住宅整治工作专班图斑核查服务项目，具体内容详见采购需求。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临潼区农村非法建住宅整治工作服务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标的名称：临潼区农村非法建住宅整治工作服务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一、工作内容</w:t>
            </w:r>
          </w:p>
          <w:p>
            <w:pPr>
              <w:pStyle w:val="null3"/>
            </w:pPr>
            <w:r>
              <w:rPr>
                <w:rFonts w:ascii="仿宋_GB2312" w:hAnsi="仿宋_GB2312" w:cs="仿宋_GB2312" w:eastAsia="仿宋_GB2312"/>
              </w:rPr>
              <w:t>本次项目共涉及约977个图斑，具体工作内容包括但不限于以下内容：</w:t>
            </w:r>
          </w:p>
          <w:p>
            <w:pPr>
              <w:pStyle w:val="null3"/>
            </w:pPr>
            <w:r>
              <w:rPr>
                <w:rFonts w:ascii="仿宋_GB2312" w:hAnsi="仿宋_GB2312" w:cs="仿宋_GB2312" w:eastAsia="仿宋_GB2312"/>
              </w:rPr>
              <w:t>（一）图斑筛选与提取</w:t>
            </w:r>
          </w:p>
          <w:p>
            <w:pPr>
              <w:pStyle w:val="null3"/>
            </w:pPr>
            <w:r>
              <w:rPr>
                <w:rFonts w:ascii="仿宋_GB2312" w:hAnsi="仿宋_GB2312" w:cs="仿宋_GB2312" w:eastAsia="仿宋_GB2312"/>
              </w:rPr>
              <w:t>依据市级下发的摸排表格及图斑矢量数据，结合临潼区农村住宅类房屋实际情况，对非法建住宅图斑进行筛选与提取。通过对图斑属性、地类、审批情况等信息进行初步比对，形成需重点排查的图斑清单。</w:t>
            </w:r>
          </w:p>
          <w:p>
            <w:pPr>
              <w:pStyle w:val="null3"/>
            </w:pPr>
            <w:r>
              <w:rPr>
                <w:rFonts w:ascii="仿宋_GB2312" w:hAnsi="仿宋_GB2312" w:cs="仿宋_GB2312" w:eastAsia="仿宋_GB2312"/>
              </w:rPr>
              <w:t>（二）内业分析与研判</w:t>
            </w:r>
          </w:p>
          <w:p>
            <w:pPr>
              <w:pStyle w:val="null3"/>
            </w:pPr>
            <w:r>
              <w:rPr>
                <w:rFonts w:ascii="仿宋_GB2312" w:hAnsi="仿宋_GB2312" w:cs="仿宋_GB2312" w:eastAsia="仿宋_GB2312"/>
              </w:rPr>
              <w:t>对提取的图斑开展系统内业分析，利用国土调查云、农村宅基地管理信息系统等平台，逐图斑核对土地利用现状、规划符合性、审批备案情况等，初步判定图斑性质，分类建立内业台账，明确需外业核查的重点图斑。</w:t>
            </w:r>
          </w:p>
          <w:p>
            <w:pPr>
              <w:pStyle w:val="null3"/>
            </w:pPr>
            <w:r>
              <w:rPr>
                <w:rFonts w:ascii="仿宋_GB2312" w:hAnsi="仿宋_GB2312" w:cs="仿宋_GB2312" w:eastAsia="仿宋_GB2312"/>
              </w:rPr>
              <w:t>（三）外业调查与举证</w:t>
            </w:r>
          </w:p>
          <w:p>
            <w:pPr>
              <w:pStyle w:val="null3"/>
            </w:pPr>
            <w:r>
              <w:rPr>
                <w:rFonts w:ascii="仿宋_GB2312" w:hAnsi="仿宋_GB2312" w:cs="仿宋_GB2312" w:eastAsia="仿宋_GB2312"/>
              </w:rPr>
              <w:t>组织专业技术人员逐图斑开展外业实地调查，利用移动终端设备现场采集房屋现状、位置、用途、建设主体、建设时间等信息，拍摄现场照片、视频等举证材料，填写摸底调查表，确保调查数据真实、准确、可追溯。</w:t>
            </w:r>
          </w:p>
          <w:p>
            <w:pPr>
              <w:pStyle w:val="null3"/>
            </w:pPr>
            <w:r>
              <w:rPr>
                <w:rFonts w:ascii="仿宋_GB2312" w:hAnsi="仿宋_GB2312" w:cs="仿宋_GB2312" w:eastAsia="仿宋_GB2312"/>
              </w:rPr>
              <w:t>（四）资料上报与审核</w:t>
            </w:r>
          </w:p>
          <w:p>
            <w:pPr>
              <w:pStyle w:val="null3"/>
            </w:pPr>
            <w:r>
              <w:rPr>
                <w:rFonts w:ascii="仿宋_GB2312" w:hAnsi="仿宋_GB2312" w:cs="仿宋_GB2312" w:eastAsia="仿宋_GB2312"/>
              </w:rPr>
              <w:t>按照“一户一档”原则，对每个图斑形成完整的调查档案，包括内业分析记录、外业调查资料、现场举证材料、经乡镇签字确认的摸底调查表等。整理汇总摸排情况表，形成矢量数据库及相关台账资料，并配合完成市级核查及成果补正工作。</w:t>
            </w:r>
          </w:p>
          <w:p>
            <w:pPr>
              <w:pStyle w:val="null3"/>
            </w:pPr>
            <w:r>
              <w:rPr>
                <w:rFonts w:ascii="仿宋_GB2312" w:hAnsi="仿宋_GB2312" w:cs="仿宋_GB2312" w:eastAsia="仿宋_GB2312"/>
              </w:rPr>
              <w:t>（五）成果整理与归档</w:t>
            </w:r>
          </w:p>
          <w:p>
            <w:pPr>
              <w:pStyle w:val="null3"/>
            </w:pPr>
            <w:r>
              <w:rPr>
                <w:rFonts w:ascii="仿宋_GB2312" w:hAnsi="仿宋_GB2312" w:cs="仿宋_GB2312" w:eastAsia="仿宋_GB2312"/>
              </w:rPr>
              <w:t>对最终确认的摸排成果进行分类整理，形成规范、完整的电子成果与纸质成果，确保数据格式、坐标系、属性结构等符合上级部门要求。所有成果资料按要求进行统一归档管理，保障数据安全与可追溯性。</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（1）自然资源部 农业农村部《关于农村乱占耕地建房 “八不准”的通知》（自然资发 [2020]127号）；</w:t>
            </w:r>
          </w:p>
          <w:p>
            <w:pPr>
              <w:pStyle w:val="null3"/>
            </w:pPr>
            <w:r>
              <w:rPr>
                <w:rFonts w:ascii="仿宋_GB2312" w:hAnsi="仿宋_GB2312" w:cs="仿宋_GB2312" w:eastAsia="仿宋_GB2312"/>
              </w:rPr>
              <w:t>（2）农村乱占耕地建房专项整治行动部际协调机制办公室 《关于印发农村乱占耕地建房问题摸排工作方案的通知》协调机制办发 [2020]1号）；</w:t>
            </w:r>
          </w:p>
          <w:p>
            <w:pPr>
              <w:pStyle w:val="null3"/>
            </w:pPr>
            <w:r>
              <w:rPr>
                <w:rFonts w:ascii="仿宋_GB2312" w:hAnsi="仿宋_GB2312" w:cs="仿宋_GB2312" w:eastAsia="仿宋_GB2312"/>
              </w:rPr>
              <w:t>（3）《自然资源部办公厅关于开展非住宅类房屋信息补充摸排等工作的通知》（自然资办函[2022]1718号）；</w:t>
            </w:r>
          </w:p>
          <w:p>
            <w:pPr>
              <w:pStyle w:val="null3"/>
            </w:pPr>
            <w:r>
              <w:rPr>
                <w:rFonts w:ascii="仿宋_GB2312" w:hAnsi="仿宋_GB2312" w:cs="仿宋_GB2312" w:eastAsia="仿宋_GB2312"/>
              </w:rPr>
              <w:t>（4）西安市农业农村局西安市自然资源和规划局关于印发《西安市农村非法建住宅整治工作方案的通知》（市农发〔2023〕107号）。</w:t>
            </w:r>
          </w:p>
          <w:p>
            <w:pPr>
              <w:pStyle w:val="null3"/>
            </w:pPr>
            <w:r>
              <w:rPr>
                <w:rFonts w:ascii="仿宋_GB2312" w:hAnsi="仿宋_GB2312" w:cs="仿宋_GB2312" w:eastAsia="仿宋_GB2312"/>
              </w:rPr>
              <w:t>三、提交成果</w:t>
            </w:r>
          </w:p>
          <w:p>
            <w:pPr>
              <w:pStyle w:val="null3"/>
            </w:pPr>
            <w:r>
              <w:rPr>
                <w:rFonts w:ascii="仿宋_GB2312" w:hAnsi="仿宋_GB2312" w:cs="仿宋_GB2312" w:eastAsia="仿宋_GB2312"/>
              </w:rPr>
              <w:t>本项目须提交以下成果资料，相关技术规范要求。</w:t>
            </w:r>
          </w:p>
          <w:p>
            <w:pPr>
              <w:pStyle w:val="null3"/>
            </w:pPr>
            <w:r>
              <w:rPr>
                <w:rFonts w:ascii="仿宋_GB2312" w:hAnsi="仿宋_GB2312" w:cs="仿宋_GB2312" w:eastAsia="仿宋_GB2312"/>
              </w:rPr>
              <w:t>（一）摸排情况汇总表</w:t>
            </w:r>
          </w:p>
          <w:p>
            <w:pPr>
              <w:pStyle w:val="null3"/>
            </w:pPr>
            <w:r>
              <w:rPr>
                <w:rFonts w:ascii="仿宋_GB2312" w:hAnsi="仿宋_GB2312" w:cs="仿宋_GB2312" w:eastAsia="仿宋_GB2312"/>
              </w:rPr>
              <w:t>以 Excel 或 WPS 表格形式提交，内容包括但不限于图斑编号、坐落位置、权利人信息、占地面积、建设时间、土地性质、规划符合性、审批情况等。表格字段、格式、编码规则须与市级下发模板保持一致，数据完整、逻辑无误，能够支撑后续统计分析与核查比对。</w:t>
            </w:r>
          </w:p>
          <w:p>
            <w:pPr>
              <w:pStyle w:val="null3"/>
            </w:pPr>
            <w:r>
              <w:rPr>
                <w:rFonts w:ascii="仿宋_GB2312" w:hAnsi="仿宋_GB2312" w:cs="仿宋_GB2312" w:eastAsia="仿宋_GB2312"/>
              </w:rPr>
              <w:t>（二）摸排成果矢量数据库</w:t>
            </w:r>
          </w:p>
          <w:p>
            <w:pPr>
              <w:pStyle w:val="null3"/>
            </w:pPr>
            <w:r>
              <w:rPr>
                <w:rFonts w:ascii="仿宋_GB2312" w:hAnsi="仿宋_GB2312" w:cs="仿宋_GB2312" w:eastAsia="仿宋_GB2312"/>
              </w:rPr>
              <w:t>以 ArcGIS File Geodatabase 或 Shapefile 格式提交，坐标系采用 CGCS2000 国家大地坐标系，高程系统采用 1985 国家高程基准。矢量数据应包含全部 977 个图斑的几何信息与属性信息，属性结构与市级要求一致，确保图斑与摸排情况汇总表一一对应、可关联查询。数据需通过完整性、拓扑关系及属性规范性检查。</w:t>
            </w:r>
          </w:p>
          <w:p>
            <w:pPr>
              <w:pStyle w:val="null3"/>
            </w:pPr>
            <w:r>
              <w:rPr>
                <w:rFonts w:ascii="仿宋_GB2312" w:hAnsi="仿宋_GB2312" w:cs="仿宋_GB2312" w:eastAsia="仿宋_GB2312"/>
              </w:rPr>
              <w:t>（三）“一户一档”电子成果资料</w:t>
            </w:r>
          </w:p>
          <w:p>
            <w:pPr>
              <w:pStyle w:val="null3"/>
            </w:pPr>
            <w:r>
              <w:rPr>
                <w:rFonts w:ascii="仿宋_GB2312" w:hAnsi="仿宋_GB2312" w:cs="仿宋_GB2312" w:eastAsia="仿宋_GB2312"/>
              </w:rPr>
              <w:t>以图斑为单位，按“一户一档”原则建立文件夹，每个图斑独立归档，内容包括：</w:t>
            </w:r>
          </w:p>
          <w:p>
            <w:pPr>
              <w:pStyle w:val="null3"/>
            </w:pPr>
            <w:r>
              <w:rPr>
                <w:rFonts w:ascii="仿宋_GB2312" w:hAnsi="仿宋_GB2312" w:cs="仿宋_GB2312" w:eastAsia="仿宋_GB2312"/>
              </w:rPr>
              <w:t>1.摸底调查表；</w:t>
            </w:r>
          </w:p>
          <w:p>
            <w:pPr>
              <w:pStyle w:val="null3"/>
            </w:pPr>
            <w:r>
              <w:rPr>
                <w:rFonts w:ascii="仿宋_GB2312" w:hAnsi="仿宋_GB2312" w:cs="仿宋_GB2312" w:eastAsia="仿宋_GB2312"/>
              </w:rPr>
              <w:t>2.现场照片（含方位、全景、局部细节等，附时间、坐标水印）；</w:t>
            </w:r>
          </w:p>
          <w:p>
            <w:pPr>
              <w:pStyle w:val="null3"/>
            </w:pPr>
            <w:r>
              <w:rPr>
                <w:rFonts w:ascii="仿宋_GB2312" w:hAnsi="仿宋_GB2312" w:cs="仿宋_GB2312" w:eastAsia="仿宋_GB2312"/>
              </w:rPr>
              <w:t>3.现场视频（关键图斑提供）；</w:t>
            </w:r>
          </w:p>
          <w:p>
            <w:pPr>
              <w:pStyle w:val="null3"/>
            </w:pPr>
            <w:r>
              <w:rPr>
                <w:rFonts w:ascii="仿宋_GB2312" w:hAnsi="仿宋_GB2312" w:cs="仿宋_GB2312" w:eastAsia="仿宋_GB2312"/>
              </w:rPr>
              <w:t>4.相关佐证材料（如审批文件、规划证明、权属材料等）；</w:t>
            </w:r>
          </w:p>
          <w:p>
            <w:pPr>
              <w:pStyle w:val="null3"/>
            </w:pPr>
            <w:r>
              <w:rPr>
                <w:rFonts w:ascii="仿宋_GB2312" w:hAnsi="仿宋_GB2312" w:cs="仿宋_GB2312" w:eastAsia="仿宋_GB2312"/>
              </w:rPr>
              <w:t>档案命名规则统一，文件夹结构清晰，支持快速检索与逐级审核。</w:t>
            </w:r>
          </w:p>
          <w:p>
            <w:pPr>
              <w:pStyle w:val="null3"/>
            </w:pPr>
            <w:r>
              <w:rPr>
                <w:rFonts w:ascii="仿宋_GB2312" w:hAnsi="仿宋_GB2312" w:cs="仿宋_GB2312" w:eastAsia="仿宋_GB2312"/>
              </w:rPr>
              <w:t>（四）成果质量要求</w:t>
            </w:r>
          </w:p>
          <w:p>
            <w:pPr>
              <w:pStyle w:val="null3"/>
            </w:pPr>
            <w:r>
              <w:rPr>
                <w:rFonts w:ascii="仿宋_GB2312" w:hAnsi="仿宋_GB2312" w:cs="仿宋_GB2312" w:eastAsia="仿宋_GB2312"/>
              </w:rPr>
              <w:t>最终提供纸质成果1份，电子成果1份。成果资料应真实、准确、完整，图斑定性判定依据充分，举证材料清晰可辨。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要求及合同约定执行；事业单位参与投标时，可不提供财务状况报告、社会保障资金和税收缴纳证明；依法免税或不需要缴纳社会保障资金的投标人，应提供相应证明文件，证明其依法免税或不需要缴纳社会保障资金；自然人（仅限中国公民）参与投标时，只须提供身份证复印件； 2.（响应文件格式-标的清单）本项目服务范围：磋商文件包含的所有范围；服务要求：符合磋商文件有关技术、商务要求；服务标准：符合国家和省、市有关行业标准及采购人的有关规定。 3.各供应商所有分项报价（与最终报价比例一致）同比例下浮； 4.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服务内容完成后由供应商进行自检，自检合格后，最终成果提交甲方确认。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成果提交完成后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本项目专门面向中小企业采购（提供中小企业声明函或监狱企业的证明文件或残疾人福利性单位声明函）。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税收缴纳证明：提供2025年10月至今已缴纳的至少一个月的纳税证明，依法免税的单位应提供相关证明材料；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社会保障资金缴纳证明：提供2025年10月至今已缴存的至少一个月的社会保障资金缴存单据或社保机构开具的社会保险参保缴费情况证明，依法不需要缴纳社会保障资金的单位应提供相关证明材料；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信用记录：供应商未被列入信用中国网站(www.creditchina.gov.cn)“失信被执行人、重大税收违法失信主体”；未被列入中国政府采购网(www.ccgp.gov.cn)“政府采购严重违法失信行为信息记录”；</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书面声明：参加政府采购活动前三年内，在经营活动中没有重大违法记录的书面声明；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承诺函：具备履行合同所必须的设备和专业技术能力的书面声明；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法定代表人授权委托书：法定代表人授权委托书、被授权人身份证（法定代表人参加磋商时,只需提供法定代表人身份证）；</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控股、管理关系：单位负责人不得为同一人或者存在直接控股、管理关系；</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供应商资质：供应商应具有有效期内的乙级以上（含乙级）测绘资质；</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不接受联合体磋商：本项目不接受联合体磋商；</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30分钟）内提供成本构成书面说明，并提交相关证明材料。书面说明应当包括：①按照国家财务会计制度的规定要求，逐项就供应商提供的货物、工程和服务的主营业务成本（应根据供应商企业类型予以区别）、税金及附加、销售费用、管理费用、财务费用等成本构成事项详细陈述。②以前完成类似规模项目与类似价格的业绩证明材料（合同、发票）。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响应文件构成无重大缺项，按照磋商文件要求的格式编写响应文件</w:t>
            </w:r>
          </w:p>
        </w:tc>
        <w:tc>
          <w:tcPr>
            <w:tcW w:type="dxa" w:w="1661"/>
          </w:tcPr>
          <w:p>
            <w:pPr>
              <w:pStyle w:val="null3"/>
            </w:pPr>
            <w:r>
              <w:rPr>
                <w:rFonts w:ascii="仿宋_GB2312" w:hAnsi="仿宋_GB2312" w:cs="仿宋_GB2312" w:eastAsia="仿宋_GB2312"/>
              </w:rPr>
              <w:t>响应文件封面 2资格证明文件.docx 3技术响应偏离表.docx 中小企业声明函 残疾人福利性单位声明函 标的清单 1分项价格表.docx 报价表 商务部分偏离表.docx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报价未超过磋商文件中规定的预算金额或最高限价</w:t>
            </w:r>
          </w:p>
        </w:tc>
        <w:tc>
          <w:tcPr>
            <w:tcW w:type="dxa" w:w="1661"/>
          </w:tcPr>
          <w:p>
            <w:pPr>
              <w:pStyle w:val="null3"/>
            </w:pPr>
            <w:r>
              <w:rPr>
                <w:rFonts w:ascii="仿宋_GB2312" w:hAnsi="仿宋_GB2312" w:cs="仿宋_GB2312" w:eastAsia="仿宋_GB2312"/>
              </w:rPr>
              <w:t>响应文件封面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响应文件的签署、盖章符合磋商文件要求，供应商递交的响应文件与本项目名称一致</w:t>
            </w:r>
          </w:p>
        </w:tc>
        <w:tc>
          <w:tcPr>
            <w:tcW w:type="dxa" w:w="1661"/>
          </w:tcPr>
          <w:p>
            <w:pPr>
              <w:pStyle w:val="null3"/>
            </w:pPr>
            <w:r>
              <w:rPr>
                <w:rFonts w:ascii="仿宋_GB2312" w:hAnsi="仿宋_GB2312" w:cs="仿宋_GB2312" w:eastAsia="仿宋_GB2312"/>
              </w:rPr>
              <w:t>响应文件封面 2资格证明文件.docx 3技术响应偏离表.docx 中小企业声明函 残疾人福利性单位声明函 标的清单 1分项价格表.docx 报价表 商务部分偏离表.docx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响应文件递交截止之日起90日历日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实质性条款要求</w:t>
            </w:r>
          </w:p>
        </w:tc>
        <w:tc>
          <w:tcPr>
            <w:tcW w:type="dxa" w:w="3322"/>
          </w:tcPr>
          <w:p>
            <w:pPr>
              <w:pStyle w:val="null3"/>
            </w:pPr>
            <w:r>
              <w:rPr>
                <w:rFonts w:ascii="仿宋_GB2312" w:hAnsi="仿宋_GB2312" w:cs="仿宋_GB2312" w:eastAsia="仿宋_GB2312"/>
              </w:rPr>
              <w:t>满足本磋商文件中“服务期限、服务地点、采购资金的支付方式及约定”的实质性条款要求的</w:t>
            </w:r>
          </w:p>
        </w:tc>
        <w:tc>
          <w:tcPr>
            <w:tcW w:type="dxa" w:w="1661"/>
          </w:tcPr>
          <w:p>
            <w:pPr>
              <w:pStyle w:val="null3"/>
            </w:pPr>
            <w:r>
              <w:rPr>
                <w:rFonts w:ascii="仿宋_GB2312" w:hAnsi="仿宋_GB2312" w:cs="仿宋_GB2312" w:eastAsia="仿宋_GB2312"/>
              </w:rPr>
              <w:t>响应文件封面 商务部分偏离表.docx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2资格证明文件.docx 3技术响应偏离表.docx 中小企业声明函 残疾人福利性单位声明函 标的清单 1分项价格表.docx 报价表 商务部分偏离表.docx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对本项目的需求内容理解清晰、思路全面。能清楚描述本次工作任务目标，对项目把握准确，重点突出。 以上内容全面、准确详细、合理可行、完全满足采购需求得10分，以下情况每出现一条的扣1分扣完为止（同一事项不重复扣分）。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4项目需求理解.docx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供应商针对本项目提供整体实施方案，提供的项目整体实施方案科学、实用，项目实施方案内容完整，与项目业务内容高度吻合，有着完善、严格规范的项目过程管理、文档管理、风险管理等方案。 以上每方面指标内容全面、准确详细、合理可行、完全满足采购需求得10分，以下情况每出现一条的扣1分扣完为止（同一事项不重复扣分）。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5整体实施方案.docx</w:t>
            </w:r>
          </w:p>
        </w:tc>
      </w:tr>
      <w:tr>
        <w:tc>
          <w:tcPr>
            <w:tcW w:type="dxa" w:w="831"/>
            <w:vMerge/>
          </w:tcPr>
          <w:p/>
        </w:tc>
        <w:tc>
          <w:tcPr>
            <w:tcW w:type="dxa" w:w="1661"/>
          </w:tcPr>
          <w:p>
            <w:pPr>
              <w:pStyle w:val="null3"/>
            </w:pPr>
            <w:r>
              <w:rPr>
                <w:rFonts w:ascii="仿宋_GB2312" w:hAnsi="仿宋_GB2312" w:cs="仿宋_GB2312" w:eastAsia="仿宋_GB2312"/>
              </w:rPr>
              <w:t>技术路线和方法</w:t>
            </w:r>
          </w:p>
        </w:tc>
        <w:tc>
          <w:tcPr>
            <w:tcW w:type="dxa" w:w="2492"/>
          </w:tcPr>
          <w:p>
            <w:pPr>
              <w:pStyle w:val="null3"/>
            </w:pPr>
            <w:r>
              <w:rPr>
                <w:rFonts w:ascii="仿宋_GB2312" w:hAnsi="仿宋_GB2312" w:cs="仿宋_GB2312" w:eastAsia="仿宋_GB2312"/>
              </w:rPr>
              <w:t>提供对本项目技术服务特点、关键技术问题的认识及其对策措施。项目实施的技术路线需清晰、全面，方法科学合理，技术指标明确。 以上内容全面、准确详细、合理可行、完全满足采购需求得8分，以下情况每出现一条的扣1分扣完为止（同一事项不重复扣分）。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6技术路线和方法.docx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针对本项目实施过程中，供应商提供项目进度计划，应包括项目进度时间安排、各阶段工作目标、进度保障措施等。 以上每方面指标内容全面、准确详细、合理可行、完全满足采购需求得8分，以下情况每出现一条的扣1分扣完为止（同一事项不重复扣分）。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7项目进度安排.docx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结合本项目要求阐述服务质量保障措施及所配备的专业设施设备等。设施设备有保障，服务质量的保障措施科学合理、具体可行。 以上每方面指标内容全面、准确详细、合理可行、完全满足采购需求得7分，以下情况每出现一条的扣1分扣完为止（同一事项不重复扣分）。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8质量保证措施.docx</w:t>
            </w:r>
          </w:p>
        </w:tc>
      </w:tr>
      <w:tr>
        <w:tc>
          <w:tcPr>
            <w:tcW w:type="dxa" w:w="831"/>
            <w:vMerge/>
          </w:tcPr>
          <w:p/>
        </w:tc>
        <w:tc>
          <w:tcPr>
            <w:tcW w:type="dxa" w:w="1661"/>
          </w:tcPr>
          <w:p>
            <w:pPr>
              <w:pStyle w:val="null3"/>
            </w:pPr>
            <w:r>
              <w:rPr>
                <w:rFonts w:ascii="仿宋_GB2312" w:hAnsi="仿宋_GB2312" w:cs="仿宋_GB2312" w:eastAsia="仿宋_GB2312"/>
              </w:rPr>
              <w:t>拟派团队人员配备情况</w:t>
            </w:r>
          </w:p>
        </w:tc>
        <w:tc>
          <w:tcPr>
            <w:tcW w:type="dxa" w:w="2492"/>
          </w:tcPr>
          <w:p>
            <w:pPr>
              <w:pStyle w:val="null3"/>
            </w:pPr>
            <w:r>
              <w:rPr>
                <w:rFonts w:ascii="仿宋_GB2312" w:hAnsi="仿宋_GB2312" w:cs="仿宋_GB2312" w:eastAsia="仿宋_GB2312"/>
              </w:rPr>
              <w:t>针对本项目提供服务团队人员配备方案，人员配备需完全满足服务需求，架构合理、岗位职责分工明确、团队组织协调能力，相关专业工作经验丰富。 对本项目提出项目团队管理方案，包括科学可行的项目团队人员更换补充方案，切实合理的项目团队人员管理制度。 备注：提供以上拟派的人员学历证书、相关专业证明资料等复印件加盖公章。 以上每方面指标内容全面、准确详细、合理可行、完全满足采购需求得8分，以下情况每出现一条的扣1分扣完为止（同一事项不重复扣分）。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9拟派团队人员配备情况.docx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依据针对本项目可能出现的突发事件拟制应急处理方案。 以上内容全面、准确详细、合理可行、完全满足采购需求得7分，以下情况每出现一条的扣1分扣完为止（同一事项不重复扣分）。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针对本项目制订符合实际情况的服务承诺，能够及时配合采购人的工作要求，确保服务质量。 以上内容全面、准确详细、合理可行、完全满足采购需求得6分，以下情况每出现一条的扣1分扣完为止（同一事项不重复扣分）。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11服务承诺.docx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供应商须承诺在本项目实施过程中，对获取的所有信息具有保密义务和责任，并有具体的保密措施和保密承诺书。 提供保密措施和保密承诺书计6分；只提供一项计3分；未提供不计分。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12保密承诺.docx</w:t>
            </w:r>
          </w:p>
        </w:tc>
      </w:tr>
      <w:tr>
        <w:tc>
          <w:tcPr>
            <w:tcW w:type="dxa" w:w="831"/>
            <w:vMerge/>
          </w:tcPr>
          <w:p/>
        </w:tc>
        <w:tc>
          <w:tcPr>
            <w:tcW w:type="dxa" w:w="1661"/>
          </w:tcPr>
          <w:p>
            <w:pPr>
              <w:pStyle w:val="null3"/>
            </w:pPr>
            <w:r>
              <w:rPr>
                <w:rFonts w:ascii="仿宋_GB2312" w:hAnsi="仿宋_GB2312" w:cs="仿宋_GB2312" w:eastAsia="仿宋_GB2312"/>
              </w:rPr>
              <w:t>成果要求</w:t>
            </w:r>
          </w:p>
        </w:tc>
        <w:tc>
          <w:tcPr>
            <w:tcW w:type="dxa" w:w="2492"/>
          </w:tcPr>
          <w:p>
            <w:pPr>
              <w:pStyle w:val="null3"/>
            </w:pPr>
            <w:r>
              <w:rPr>
                <w:rFonts w:ascii="仿宋_GB2312" w:hAnsi="仿宋_GB2312" w:cs="仿宋_GB2312" w:eastAsia="仿宋_GB2312"/>
              </w:rPr>
              <w:t>供应商须承诺提交符合采购人要求的成果报告，报告内容应齐全、有针对性、成果描述准确具体。 以上内容全面、准确详细、合理可行、完全满足采购需求得5分，以下情况每出现一条的扣1分扣完为止（同一事项不重复扣分）。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13成果要求.docx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供应商提供针对本项目的合理化建议方案，提出创新性、前瞻性、可行性高的优化建议。 以上内容全面、准确详细、合理可行、完全满足采购需求得5分，以下情况每出现一条的扣1分扣完为止（同一事项不重复扣分）。 1.响应内容与项目需求不匹配的； 2.不能满足项目实施要求的； 3.不利于项目实施的情形的； 4.内容缺项，不完整或缺少关键点的； 5.非专门针对本项目或不适用的； 6.项目特性、套用其他项目内容的； 7.对同一问题前后表述矛盾的； 8.存在逻辑漏洞、科学原理或常识错误的； 9.响应服务技术条件超出现实的情形。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供应商提供2023年3月1日至今类似项目业绩合同（以合同签订时间为准）；每提供一份业绩得2分，最高得10分；评审依据：响应文件中提供合同复印件/扫描件并加盖供应商公章。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2.满足磋商文件实质性要求且最后报价最低的供应商的价格为磋商基准价，其价格分为满分10分。 3.磋商报价得分=（磋商基准价/磋商评审价）×10的公式计算得分。计算分数时四舍五入取小数点后两位。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详见附件：3技术响应偏离表.docx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详见附件：4项目需求理解.docx</w:t>
      </w:r>
    </w:p>
    <w:p>
      <w:pPr>
        <w:pStyle w:val="null3"/>
        <w:ind w:firstLine="960"/>
      </w:pPr>
      <w:r>
        <w:rPr>
          <w:rFonts w:ascii="仿宋_GB2312" w:hAnsi="仿宋_GB2312" w:cs="仿宋_GB2312" w:eastAsia="仿宋_GB2312"/>
        </w:rPr>
        <w:t>详见附件：5整体实施方案.docx</w:t>
      </w:r>
    </w:p>
    <w:p>
      <w:pPr>
        <w:pStyle w:val="null3"/>
        <w:ind w:firstLine="960"/>
      </w:pPr>
      <w:r>
        <w:rPr>
          <w:rFonts w:ascii="仿宋_GB2312" w:hAnsi="仿宋_GB2312" w:cs="仿宋_GB2312" w:eastAsia="仿宋_GB2312"/>
        </w:rPr>
        <w:t>详见附件：6技术路线和方法.docx</w:t>
      </w:r>
    </w:p>
    <w:p>
      <w:pPr>
        <w:pStyle w:val="null3"/>
        <w:ind w:firstLine="960"/>
      </w:pPr>
      <w:r>
        <w:rPr>
          <w:rFonts w:ascii="仿宋_GB2312" w:hAnsi="仿宋_GB2312" w:cs="仿宋_GB2312" w:eastAsia="仿宋_GB2312"/>
        </w:rPr>
        <w:t>详见附件：7项目进度安排.docx</w:t>
      </w:r>
    </w:p>
    <w:p>
      <w:pPr>
        <w:pStyle w:val="null3"/>
        <w:ind w:firstLine="960"/>
      </w:pPr>
      <w:r>
        <w:rPr>
          <w:rFonts w:ascii="仿宋_GB2312" w:hAnsi="仿宋_GB2312" w:cs="仿宋_GB2312" w:eastAsia="仿宋_GB2312"/>
        </w:rPr>
        <w:t>详见附件：8质量保证措施.docx</w:t>
      </w:r>
    </w:p>
    <w:p>
      <w:pPr>
        <w:pStyle w:val="null3"/>
        <w:ind w:firstLine="960"/>
      </w:pPr>
      <w:r>
        <w:rPr>
          <w:rFonts w:ascii="仿宋_GB2312" w:hAnsi="仿宋_GB2312" w:cs="仿宋_GB2312" w:eastAsia="仿宋_GB2312"/>
        </w:rPr>
        <w:t>详见附件：9拟派团队人员配备情况.docx</w:t>
      </w:r>
    </w:p>
    <w:p>
      <w:pPr>
        <w:pStyle w:val="null3"/>
        <w:ind w:firstLine="960"/>
      </w:pPr>
      <w:r>
        <w:rPr>
          <w:rFonts w:ascii="仿宋_GB2312" w:hAnsi="仿宋_GB2312" w:cs="仿宋_GB2312" w:eastAsia="仿宋_GB2312"/>
        </w:rPr>
        <w:t>详见附件：10应急预案.docx</w:t>
      </w:r>
    </w:p>
    <w:p>
      <w:pPr>
        <w:pStyle w:val="null3"/>
        <w:ind w:firstLine="960"/>
      </w:pPr>
      <w:r>
        <w:rPr>
          <w:rFonts w:ascii="仿宋_GB2312" w:hAnsi="仿宋_GB2312" w:cs="仿宋_GB2312" w:eastAsia="仿宋_GB2312"/>
        </w:rPr>
        <w:t>详见附件：11服务承诺.docx</w:t>
      </w:r>
    </w:p>
    <w:p>
      <w:pPr>
        <w:pStyle w:val="null3"/>
        <w:ind w:firstLine="960"/>
      </w:pPr>
      <w:r>
        <w:rPr>
          <w:rFonts w:ascii="仿宋_GB2312" w:hAnsi="仿宋_GB2312" w:cs="仿宋_GB2312" w:eastAsia="仿宋_GB2312"/>
        </w:rPr>
        <w:t>详见附件：12保密承诺.docx</w:t>
      </w:r>
    </w:p>
    <w:p>
      <w:pPr>
        <w:pStyle w:val="null3"/>
        <w:ind w:firstLine="960"/>
      </w:pPr>
      <w:r>
        <w:rPr>
          <w:rFonts w:ascii="仿宋_GB2312" w:hAnsi="仿宋_GB2312" w:cs="仿宋_GB2312" w:eastAsia="仿宋_GB2312"/>
        </w:rPr>
        <w:t>详见附件：13成果要求.docx</w:t>
      </w:r>
    </w:p>
    <w:p>
      <w:pPr>
        <w:pStyle w:val="null3"/>
        <w:ind w:firstLine="960"/>
      </w:pPr>
      <w:r>
        <w:rPr>
          <w:rFonts w:ascii="仿宋_GB2312" w:hAnsi="仿宋_GB2312" w:cs="仿宋_GB2312" w:eastAsia="仿宋_GB2312"/>
        </w:rPr>
        <w:t>详见附件：14合理化建议.docx</w:t>
      </w:r>
    </w:p>
    <w:p>
      <w:pPr>
        <w:pStyle w:val="null3"/>
        <w:ind w:firstLine="960"/>
      </w:pPr>
      <w:r>
        <w:rPr>
          <w:rFonts w:ascii="仿宋_GB2312" w:hAnsi="仿宋_GB2312" w:cs="仿宋_GB2312" w:eastAsia="仿宋_GB2312"/>
        </w:rPr>
        <w:t>详见附件：15类似项目业绩.docx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