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版本号：ZB2026-ZB013（CGQ）20260413001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临潼区农村生活污水处理站运维（20座）项目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ZB2026-ZB013（CGQ）</w:t>
      </w:r>
      <w:r>
        <w:br/>
      </w:r>
      <w:r>
        <w:br/>
      </w:r>
      <w:r>
        <w:br/>
      </w:r>
    </w:p>
    <w:p>
      <w:pPr>
        <w:pStyle w:val="null3"/>
        <w:jc w:val="center"/>
        <w:outlineLvl w:val="2"/>
      </w:pPr>
      <w:r>
        <w:rPr>
          <w:rFonts w:ascii="仿宋_GB2312" w:hAnsi="仿宋_GB2312" w:cs="仿宋_GB2312" w:eastAsia="仿宋_GB2312"/>
          <w:sz w:val="28"/>
          <w:b/>
        </w:rPr>
        <w:t>西安市临潼区水务局</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西安市临潼区水务局</w:t>
      </w:r>
      <w:r>
        <w:rPr>
          <w:rFonts w:ascii="仿宋_GB2312" w:hAnsi="仿宋_GB2312" w:cs="仿宋_GB2312" w:eastAsia="仿宋_GB2312"/>
        </w:rPr>
        <w:t>委托，拟对</w:t>
      </w:r>
      <w:r>
        <w:rPr>
          <w:rFonts w:ascii="仿宋_GB2312" w:hAnsi="仿宋_GB2312" w:cs="仿宋_GB2312" w:eastAsia="仿宋_GB2312"/>
        </w:rPr>
        <w:t>临潼区农村生活污水处理站运维（20座）项目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ZB2026-ZB013（CGQ）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临潼区农村生活污水处理站运维（20座）项目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临潼区农村生活污水处理站运维（20 座）项目，包括临潼区相桥街办贵刘组（30t/d）、神西组（15t/d）、神东组（15t/d）、北王组（30t/d）、柳南组（10t/d）、柳东组（30t/d）、田市村 2 号（60t/d）；仁宗街办仁宗村 1 号（20t/d）、仁宗村 2 号（20t/d）；小金街办小金村（50t/d）、砲岭村（30t/d）、毛湾村（30t/d）、欠湾村（15t/d）生活污水处理站采用多级生物接触氧化工艺；相桥街办田市村 1#（50t/d）、斜口街办高沟村（100t/d）、行者街办行南村 1 号（50t/d）、行南村 2 号（200t/d）、行北村 1 号（50t/d）、行北村 2 号（50t/d）、船王村（15t/d）生活污水处理站采用A/O+MBR 膜工艺。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采购包1（临潼区农村生活污水处理站运维（20 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3、资质要求：供应商须具备环保工程专业承包三级及以上或市政公用工程施工总承包三级及以上资质，具有有效的安全生产许可证。</w:t>
      </w:r>
    </w:p>
    <w:p>
      <w:pPr>
        <w:pStyle w:val="null3"/>
      </w:pPr>
      <w:r>
        <w:rPr>
          <w:rFonts w:ascii="仿宋_GB2312" w:hAnsi="仿宋_GB2312" w:cs="仿宋_GB2312" w:eastAsia="仿宋_GB2312"/>
        </w:rPr>
        <w:t>4、项目经理要求：拟派项目经理须具备市政公用工程二级及以上注册建造师执业资格，具有安全生产考核合格证，且在本单位注册，无在建工程。</w:t>
      </w:r>
    </w:p>
    <w:p>
      <w:pPr>
        <w:pStyle w:val="null3"/>
      </w:pPr>
      <w:r>
        <w:rPr>
          <w:rFonts w:ascii="仿宋_GB2312" w:hAnsi="仿宋_GB2312" w:cs="仿宋_GB2312" w:eastAsia="仿宋_GB2312"/>
        </w:rPr>
        <w:t>5、基本资格条件承诺函：根据临财函〔2025〕199号《西安市临潼区财政局关于开展政府采购供应商基本资格条件承诺制试点工作的通知》，供应商只需以书面形式提供规定格式的《基本资格条件承诺函》，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6、无重大质量或安全事故的书面声明：参加政府采购活动前三年内，在经营活动中没有重大质量或安全事故的书面声明</w:t>
      </w:r>
    </w:p>
    <w:p>
      <w:pPr>
        <w:pStyle w:val="null3"/>
      </w:pPr>
      <w:r>
        <w:rPr>
          <w:rFonts w:ascii="仿宋_GB2312" w:hAnsi="仿宋_GB2312" w:cs="仿宋_GB2312" w:eastAsia="仿宋_GB2312"/>
        </w:rPr>
        <w:t>7、供应商关联关系承诺书：单位负责人为同一人或者存在直接控股、管理关系的不同供应商，不得参加同一合同项下的投标活动。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8、非联合体投标声明：本项目不接受联合体投标。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临潼区秦陵南路28号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华昊泽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15029222591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宋利利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代理服务费收费标准：中标供应商领取中标通知书时，代理服务费参照计价格【2002】1980号及发改价格【2011】534号文件规定标准计算；向“西安梓搏咨询管理有限公司”交纳。户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西安市临潼区水务局</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出水水质稳定执行《农村生活污水处理设施水污染物排放标准》（DB61/1227-2018）二级标准。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联系人：宋利利</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临潼区农村生活污水处理站运维（20 座）项目，包括临潼区相桥街办贵刘组（30t/d）、神西组（15t/d）、神东组（15t/d）、北王组（30t/d）、柳南组（10t/d）、柳东组（30t/d）、田市村 2 号（60t/d）；仁宗街办仁宗村 1 号（20t/d）、仁宗村 2 号（20t/d）；小金街办小金村（50t/d）、砲岭村（30t/d）、毛湾村（30t/d）、欠湾村（15t/d）生活污水处理站采用多级生物接触氧化工艺；相桥街办田市村 1#（50t/d）、斜口街办高沟村（100t/d）、行者街办行南村 1 号（50t/d）、行南村 2 号（200t/d）、行北村 1 号（50t/d）、行北村 2 号（50t/d）、船王村（15t/d）生活污水处理站采用A/O+MBR 膜工艺。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临潼区农村生活污水处理站运维（20 座）项目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标的名称：临潼区农村生活污水处理站运维（20 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color w:val="000000"/>
              </w:rPr>
              <w:t>项目概况：</w:t>
            </w:r>
            <w:r>
              <w:rPr>
                <w:rFonts w:ascii="仿宋_GB2312" w:hAnsi="仿宋_GB2312" w:cs="仿宋_GB2312" w:eastAsia="仿宋_GB2312"/>
                <w:sz w:val="24"/>
                <w:color w:val="000000"/>
              </w:rPr>
              <w:t>临潼区农村生活污水处理站运维（</w:t>
            </w:r>
            <w:r>
              <w:rPr>
                <w:rFonts w:ascii="仿宋_GB2312" w:hAnsi="仿宋_GB2312" w:cs="仿宋_GB2312" w:eastAsia="仿宋_GB2312"/>
                <w:sz w:val="24"/>
                <w:color w:val="000000"/>
              </w:rPr>
              <w:t>20 座）项目，</w:t>
            </w:r>
            <w:r>
              <w:rPr>
                <w:rFonts w:ascii="仿宋_GB2312" w:hAnsi="仿宋_GB2312" w:cs="仿宋_GB2312" w:eastAsia="仿宋_GB2312"/>
                <w:sz w:val="24"/>
                <w:color w:val="000000"/>
              </w:rPr>
              <w:t>包括临潼区相桥街办贵刘组（</w:t>
            </w:r>
            <w:r>
              <w:rPr>
                <w:rFonts w:ascii="仿宋_GB2312" w:hAnsi="仿宋_GB2312" w:cs="仿宋_GB2312" w:eastAsia="仿宋_GB2312"/>
                <w:sz w:val="24"/>
                <w:color w:val="000000"/>
              </w:rPr>
              <w:t>30t/d）、神西组（15t/d）、神东组（15t/d）、北王组（30t/d）、柳南组（10t/d）、柳东组（30t/d）、田市村 2 号（60t/d）；仁宗街办仁宗村 1 号（20t/d）、仁宗村 2 号（20t/d）；小金街办小金村（50t/d）、砲岭村（30t/d）、毛湾村（30t/d）、欠湾村（15t/d）生活污水处理站采用</w:t>
            </w:r>
            <w:r>
              <w:rPr>
                <w:rFonts w:ascii="仿宋_GB2312" w:hAnsi="仿宋_GB2312" w:cs="仿宋_GB2312" w:eastAsia="仿宋_GB2312"/>
                <w:sz w:val="24"/>
                <w:b/>
                <w:color w:val="000000"/>
              </w:rPr>
              <w:t>多级生物接触氧化</w:t>
            </w:r>
            <w:r>
              <w:rPr>
                <w:rFonts w:ascii="仿宋_GB2312" w:hAnsi="仿宋_GB2312" w:cs="仿宋_GB2312" w:eastAsia="仿宋_GB2312"/>
                <w:sz w:val="24"/>
                <w:color w:val="000000"/>
              </w:rPr>
              <w:t>工艺；相桥街办田市村</w:t>
            </w:r>
            <w:r>
              <w:rPr>
                <w:rFonts w:ascii="仿宋_GB2312" w:hAnsi="仿宋_GB2312" w:cs="仿宋_GB2312" w:eastAsia="仿宋_GB2312"/>
                <w:sz w:val="24"/>
                <w:color w:val="000000"/>
              </w:rPr>
              <w:t>1#（50t/d）、斜口街办高沟村（100t/d）、行者街办行南村 1 号（50t/d）、行南村 2 号（200t/d）、行北村 1 号（50t/d）、行北村 2 号（50t/d）、船王村（15t/d）生活污水处理站采用</w:t>
            </w:r>
            <w:r>
              <w:rPr>
                <w:rFonts w:ascii="仿宋_GB2312" w:hAnsi="仿宋_GB2312" w:cs="仿宋_GB2312" w:eastAsia="仿宋_GB2312"/>
                <w:sz w:val="24"/>
                <w:b/>
                <w:color w:val="000000"/>
              </w:rPr>
              <w:t>A/O+MBR 膜</w:t>
            </w:r>
            <w:r>
              <w:rPr>
                <w:rFonts w:ascii="仿宋_GB2312" w:hAnsi="仿宋_GB2312" w:cs="仿宋_GB2312" w:eastAsia="仿宋_GB2312"/>
                <w:sz w:val="24"/>
                <w:color w:val="000000"/>
              </w:rPr>
              <w:t>工艺。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color w:val="000000"/>
              </w:rPr>
              <w:t>服务内容：</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主体工艺设备运维：</w:t>
            </w:r>
            <w:r>
              <w:rPr>
                <w:rFonts w:ascii="仿宋_GB2312" w:hAnsi="仿宋_GB2312" w:cs="仿宋_GB2312" w:eastAsia="仿宋_GB2312"/>
                <w:sz w:val="24"/>
                <w:color w:val="000000"/>
              </w:rPr>
              <w:t>包括格栅机、污水提升泵、罗茨</w:t>
            </w:r>
            <w:r>
              <w:rPr>
                <w:rFonts w:ascii="仿宋_GB2312" w:hAnsi="仿宋_GB2312" w:cs="仿宋_GB2312" w:eastAsia="仿宋_GB2312"/>
                <w:sz w:val="24"/>
                <w:color w:val="000000"/>
              </w:rPr>
              <w:t>/ 离心鼓风机、一体化生物处理设备、加药装置、二氧化氯 / 紫外线消毒设备等，负责日常巡检、保养、易损件更换、故障维修。（单次/单个零配件费用 ≥2000元，由西安市临潼区水务局申请专项资金解决。）</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电气与自控系统运维：</w:t>
            </w:r>
            <w:r>
              <w:rPr>
                <w:rFonts w:ascii="仿宋_GB2312" w:hAnsi="仿宋_GB2312" w:cs="仿宋_GB2312" w:eastAsia="仿宋_GB2312"/>
                <w:sz w:val="24"/>
                <w:color w:val="000000"/>
              </w:rPr>
              <w:t>配电柜、电缆、照明、仪表、</w:t>
            </w:r>
            <w:r>
              <w:rPr>
                <w:rFonts w:ascii="仿宋_GB2312" w:hAnsi="仿宋_GB2312" w:cs="仿宋_GB2312" w:eastAsia="仿宋_GB2312"/>
                <w:sz w:val="24"/>
                <w:color w:val="000000"/>
              </w:rPr>
              <w:t>PLC 控制系统、在线监测设备、阀门、流量计等，负责维护、校准、故障处理、消耗品更换。</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能耗与耗材承担：</w:t>
            </w:r>
            <w:r>
              <w:rPr>
                <w:rFonts w:ascii="仿宋_GB2312" w:hAnsi="仿宋_GB2312" w:cs="仿宋_GB2312" w:eastAsia="仿宋_GB2312"/>
                <w:sz w:val="24"/>
                <w:color w:val="000000"/>
              </w:rPr>
              <w:t>承担污水处理站内所有设备运行水电费、常规运维药剂费、检测耗材、劳保用品、工具损耗。</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管网与构筑物维护</w:t>
            </w:r>
            <w:r>
              <w:rPr>
                <w:rFonts w:ascii="仿宋_GB2312" w:hAnsi="仿宋_GB2312" w:cs="仿宋_GB2312" w:eastAsia="仿宋_GB2312"/>
                <w:sz w:val="24"/>
                <w:color w:val="000000"/>
              </w:rPr>
              <w:t>:站内进水管网、出水管网、连接管网、检查井、提升井、调节池、生化池、沉淀池等，负责巡检、清淤、疏通、堵漏、结构完好性检查。</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运行管理全流程：</w:t>
            </w:r>
            <w:r>
              <w:rPr>
                <w:rFonts w:ascii="仿宋_GB2312" w:hAnsi="仿宋_GB2312" w:cs="仿宋_GB2312" w:eastAsia="仿宋_GB2312"/>
                <w:sz w:val="24"/>
                <w:color w:val="000000"/>
              </w:rPr>
              <w:t>日常操作、水质采样检测、药剂精准投加、污泥抽吸</w:t>
            </w:r>
            <w:r>
              <w:rPr>
                <w:rFonts w:ascii="仿宋_GB2312" w:hAnsi="仿宋_GB2312" w:cs="仿宋_GB2312" w:eastAsia="仿宋_GB2312"/>
                <w:sz w:val="24"/>
                <w:color w:val="000000"/>
              </w:rPr>
              <w:t>/脱水/转运处置、现场卫生、安全管理、台账记录、迎检配合。</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color w:val="000000"/>
              </w:rPr>
              <w:t>技术要求：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设备设施稳定运行，设备完好率</w:t>
            </w:r>
            <w:r>
              <w:rPr>
                <w:rFonts w:ascii="仿宋_GB2312" w:hAnsi="仿宋_GB2312" w:cs="仿宋_GB2312" w:eastAsia="仿宋_GB2312"/>
                <w:sz w:val="24"/>
                <w:color w:val="000000"/>
              </w:rPr>
              <w:t>≥96%，关键设备无带病运行。</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出水水质达标率</w:t>
            </w:r>
            <w:r>
              <w:rPr>
                <w:rFonts w:ascii="仿宋_GB2312" w:hAnsi="仿宋_GB2312" w:cs="仿宋_GB2312" w:eastAsia="仿宋_GB2312"/>
                <w:sz w:val="24"/>
                <w:color w:val="000000"/>
              </w:rPr>
              <w:t>≥99%，全年无环保通报、无超标处罚。</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故障响应时间</w:t>
            </w:r>
            <w:r>
              <w:rPr>
                <w:rFonts w:ascii="仿宋_GB2312" w:hAnsi="仿宋_GB2312" w:cs="仿宋_GB2312" w:eastAsia="仿宋_GB2312"/>
                <w:sz w:val="24"/>
                <w:color w:val="000000"/>
              </w:rPr>
              <w:t>≤1.5 小时，一般故障 24 小时内修复，重大故障 72 小时内处置完毕。</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运维档案完整率</w:t>
            </w:r>
            <w:r>
              <w:rPr>
                <w:rFonts w:ascii="仿宋_GB2312" w:hAnsi="仿宋_GB2312" w:cs="仿宋_GB2312" w:eastAsia="仿宋_GB2312"/>
                <w:sz w:val="24"/>
                <w:color w:val="000000"/>
              </w:rPr>
              <w:t xml:space="preserve"> 100%，实现电子化、可追溯、可核查。</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安全运行零事故，无人员伤亡、无设备重大损坏、无环境次生污染。</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药剂、水电、污泥处置规范合规，运行成本可控、节能降耗。</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color w:val="000000"/>
              </w:rPr>
              <w:t>服务要求：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日常运行管理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）每日巡检：</w:t>
            </w: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小时不间断值守</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定时巡检，记录设备电流、电压、声音、温度、压力、液位、流量。</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）设备保养：每周清洁、每月润滑、每季度紧固调试、每年全面保养。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）水质检测：每月采样检测，重点监测 </w:t>
            </w:r>
            <w:r>
              <w:rPr>
                <w:rFonts w:ascii="仿宋_GB2312" w:hAnsi="仿宋_GB2312" w:cs="仿宋_GB2312" w:eastAsia="仿宋_GB2312"/>
                <w:sz w:val="24"/>
                <w:color w:val="000000"/>
              </w:rPr>
              <w:t>CODcr</w:t>
            </w:r>
            <w:r>
              <w:rPr>
                <w:rFonts w:ascii="仿宋_GB2312" w:hAnsi="仿宋_GB2312" w:cs="仿宋_GB2312" w:eastAsia="仿宋_GB2312"/>
                <w:sz w:val="24"/>
                <w:color w:val="000000"/>
              </w:rPr>
              <w:t>、</w:t>
            </w:r>
            <w:r>
              <w:rPr>
                <w:rFonts w:ascii="仿宋_GB2312" w:hAnsi="仿宋_GB2312" w:cs="仿宋_GB2312" w:eastAsia="仿宋_GB2312"/>
                <w:sz w:val="24"/>
                <w:color w:val="000000"/>
              </w:rPr>
              <w:t>SS</w:t>
            </w:r>
            <w:r>
              <w:rPr>
                <w:rFonts w:ascii="仿宋_GB2312" w:hAnsi="仿宋_GB2312" w:cs="仿宋_GB2312" w:eastAsia="仿宋_GB2312"/>
                <w:sz w:val="24"/>
                <w:color w:val="000000"/>
              </w:rPr>
              <w:t>、氨氮、总磷、</w:t>
            </w:r>
            <w:r>
              <w:rPr>
                <w:rFonts w:ascii="仿宋_GB2312" w:hAnsi="仿宋_GB2312" w:cs="仿宋_GB2312" w:eastAsia="仿宋_GB2312"/>
                <w:sz w:val="24"/>
                <w:color w:val="000000"/>
              </w:rPr>
              <w:t>pH</w:t>
            </w:r>
            <w:r>
              <w:rPr>
                <w:rFonts w:ascii="仿宋_GB2312" w:hAnsi="仿宋_GB2312" w:cs="仿宋_GB2312" w:eastAsia="仿宋_GB2312"/>
                <w:sz w:val="24"/>
                <w:color w:val="000000"/>
              </w:rPr>
              <w:t>、动植物油，建立数据曲线。</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）药剂管理：按进水浓度精准投加，规范储存、分类摆放、双人领用、台账可查。</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）污泥处置：定期抽吸、密闭转运、合规处置，严禁随意倾倒，建立处置联单。</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）站区环境：每日清扫、定期除草、保持设施干净整洁。</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设备故障处理流程</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）上报：发现故障立即停机，</w:t>
            </w: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分钟内上报组长与技术负责人。</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）派工：运维组 </w:t>
            </w:r>
            <w:r>
              <w:rPr>
                <w:rFonts w:ascii="仿宋_GB2312" w:hAnsi="仿宋_GB2312" w:cs="仿宋_GB2312" w:eastAsia="仿宋_GB2312"/>
                <w:sz w:val="24"/>
                <w:color w:val="000000"/>
              </w:rPr>
              <w:t xml:space="preserve">1.5 </w:t>
            </w:r>
            <w:r>
              <w:rPr>
                <w:rFonts w:ascii="仿宋_GB2312" w:hAnsi="仿宋_GB2312" w:cs="仿宋_GB2312" w:eastAsia="仿宋_GB2312"/>
                <w:sz w:val="24"/>
                <w:color w:val="000000"/>
              </w:rPr>
              <w:t>小时内到达现场，技术组同步提供方案。</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）维修：一般故障 </w:t>
            </w: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 xml:space="preserve">小时内修复；重大故障 </w:t>
            </w:r>
            <w:r>
              <w:rPr>
                <w:rFonts w:ascii="仿宋_GB2312" w:hAnsi="仿宋_GB2312" w:cs="仿宋_GB2312" w:eastAsia="仿宋_GB2312"/>
                <w:sz w:val="24"/>
                <w:color w:val="000000"/>
              </w:rPr>
              <w:t xml:space="preserve">72 </w:t>
            </w:r>
            <w:r>
              <w:rPr>
                <w:rFonts w:ascii="仿宋_GB2312" w:hAnsi="仿宋_GB2312" w:cs="仿宋_GB2312" w:eastAsia="仿宋_GB2312"/>
                <w:sz w:val="24"/>
                <w:color w:val="000000"/>
              </w:rPr>
              <w:t>小时内完成维修并试运行。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）验收：修复后连续运行 </w:t>
            </w: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小时合格，填写维修记录，归档备查。</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水质异常处理流程</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）预警：检测超标立即复测，确认后</w:t>
            </w:r>
            <w:r>
              <w:rPr>
                <w:rFonts w:ascii="仿宋_GB2312" w:hAnsi="仿宋_GB2312" w:cs="仿宋_GB2312" w:eastAsia="仿宋_GB2312"/>
                <w:sz w:val="24"/>
                <w:color w:val="000000"/>
              </w:rPr>
              <w:t xml:space="preserve">30 </w:t>
            </w:r>
            <w:r>
              <w:rPr>
                <w:rFonts w:ascii="仿宋_GB2312" w:hAnsi="仿宋_GB2312" w:cs="仿宋_GB2312" w:eastAsia="仿宋_GB2312"/>
                <w:sz w:val="24"/>
                <w:color w:val="000000"/>
              </w:rPr>
              <w:t>分钟内上报项目经理。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）排查：逐项核查进水水质、设备状态、工艺参数、药剂投加量、污泥浓度。</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）处置：调整风量、回流比、加药量；必要时启动限流、预处理、应急消毒。</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）跟踪：加密监测至连续 </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次达标，形成异常处置报告。</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应急处置管理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）预案覆盖：暴雨洪水、停电停机、设备损毁、水质突发超标、安全事故。</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）应急演练：每半年 </w:t>
            </w: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次，演练后评估修订预案。</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）应急物资：储备沙袋、水泵、电缆、药剂、抢修工具、应急照明。</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）上报机制：重大突发事件</w:t>
            </w: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小时内上报水务局与生态环境部门。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 1、出水稳定达标：CODcr、SS、NH3-N、TP、动植物油、pH 等指标满足DB61/1227-2018 二级标准。 2、现场管理标准：站区整洁、无异味、无积水、无杂物、标识清晰、防护齐全。 3、响应标准：报修 / 故障1.5 小时内到场，紧急情况优先处置。 4、资料标准：运行记录、维保记录、检测报告、维修台账、安全台账按月整理归档。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出水水质稳定执行《农村生活污水处理设施水污染物排放标准》（DB61/1227-2018）二级标准。 1、出水稳定达标：CODcr、SS、NH3-N、TP、动植物油、pH 等指标满足DB61/1227-2018 二级标准。 2、现场管理标准：站区整洁、无异味、无积水、无杂物、标识清晰、防护齐全。 3、响应标准：报修 / 故障1.5 小时内到场，紧急情况优先处置。 4、资料标准：运行记录、维保记录、检测报告、维修台账、安全台账按月整理归档。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第一个月至第三个月结束后，对服务单位进行考核，考核合格后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第四个月至第六个月结束后，对服务单位进行考核，考核合格后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第七个月至第九个月结束后，对服务单位进行考核，考核合格后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第十个月至第十二个月结束后，对服务单位进行考核，考核合格后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总报价为完成本项目开始至服务期结束的所有费用，包含但不限于以下费用：（1）人员费用：工资、社保、福利、加班费、培训费；（2）物料费用：药剂费、检测费、污泥处置费、耗材费；（3）维保费用：设备保养、小额维修、工具费；（4）安全费用：劳保用品、安全防护、应急物资；（5）管理费用：车辆、办公、保险、税费；（6）其他：合规性支出、不可预见费。2.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3.供应商需要在线提交所有通过电子化交易平台实施的政府采购项目的响应文件，同时，线下递交纸质响应文件，正本壹份、副本壹份，电子文档壹份（U盘存储，内容包括与系统上传后导出完全一致的PDF版响应文件）。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提供基本资格条件承诺函或2024/2025年经审计的财务审计报告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供应商须具备环保工程专业承包三级及以上或市政公用工程施工总承包三级及以上资质，具有有效的安全生产许可证。</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临财函〔2025〕199号《西安市临潼区财政局关于开展政府采购供应商基本资格条件承诺制试点工作的通知》，供应商只需以书面形式提供规定格式的《基本资格条件承诺函》，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无重大质量或安全事故的书面声明</w:t>
            </w:r>
          </w:p>
        </w:tc>
        <w:tc>
          <w:tcPr>
            <w:tcW w:type="dxa" w:w="3322"/>
          </w:tcPr>
          <w:p>
            <w:pPr>
              <w:pStyle w:val="null3"/>
            </w:pPr>
            <w:r>
              <w:rPr>
                <w:rFonts w:ascii="仿宋_GB2312" w:hAnsi="仿宋_GB2312" w:cs="仿宋_GB2312" w:eastAsia="仿宋_GB2312"/>
              </w:rPr>
              <w:t>参加政府采购活动前三年内，在经营活动中没有重大质量或安全事故的书面声明</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 供应商承诺书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供应商资格证明资料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满足磋商文件格式要求。</w:t>
            </w:r>
          </w:p>
        </w:tc>
        <w:tc>
          <w:tcPr>
            <w:tcW w:type="dxa" w:w="1661"/>
          </w:tcPr>
          <w:p>
            <w:pPr>
              <w:pStyle w:val="null3"/>
            </w:pPr>
            <w:r>
              <w:rPr>
                <w:rFonts w:ascii="仿宋_GB2312" w:hAnsi="仿宋_GB2312" w:cs="仿宋_GB2312" w:eastAsia="仿宋_GB2312"/>
              </w:rPr>
              <w:t>响应文件封面 商务应答表 标的清单 服务内容及服务要求应答表 报价表 响应函 业绩一览表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按磋商文件要求提交投标报价，不得提交有选择的投标报价，且每轮报价不超过采购预算金额或最高限价。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综合运维服务方案</w:t>
            </w:r>
          </w:p>
        </w:tc>
        <w:tc>
          <w:tcPr>
            <w:tcW w:type="dxa" w:w="2492"/>
          </w:tcPr>
          <w:p>
            <w:pPr>
              <w:pStyle w:val="null3"/>
            </w:pPr>
            <w:r>
              <w:rPr>
                <w:rFonts w:ascii="仿宋_GB2312" w:hAnsi="仿宋_GB2312" w:cs="仿宋_GB2312" w:eastAsia="仿宋_GB2312"/>
              </w:rPr>
              <w:t>综合运维服务方案18分，每缺少一项扣3分（1）项目基本情况分析3-0分；（2）污水站运行维护主要管理制度3-0分；（3）污水站各工艺单元运行管理3-0分；（4）污水站各设备操作规程3-0分；（5）日常保养维修3-0分；（6）常见故障分析及排除方法3-0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供应商针对本项目提供设备设施维修、维护及保养方案。方案思路清晰、科学合理、切实可行，完全满足采购人需求得10-6分；方案基本完善，可实施性一般得6-3分；方案表述不全，不利于项目实施的计3-0分。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服务团队配备人员岗位完整，搭配合理，职位分明、有相应的技术能力，包括但不限于污水处理人员、设备维修人员、水质检测人员、安全员、质量员、管理人员。人员配备合理、科学可行、完全符合要求得10-6分；人员配备较合理、可行性一般，基本符合要求得6-3分；人员配备不完备、可行性差、不能全面符合要求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机具配备情况</w:t>
            </w:r>
          </w:p>
        </w:tc>
        <w:tc>
          <w:tcPr>
            <w:tcW w:type="dxa" w:w="2492"/>
          </w:tcPr>
          <w:p>
            <w:pPr>
              <w:pStyle w:val="null3"/>
            </w:pPr>
            <w:r>
              <w:rPr>
                <w:rFonts w:ascii="仿宋_GB2312" w:hAnsi="仿宋_GB2312" w:cs="仿宋_GB2312" w:eastAsia="仿宋_GB2312"/>
              </w:rPr>
              <w:t>根据投入本项目的设备、保养工具及物料配置，满足运行管理需要。设备、工具、物料配备齐全、满足运行管理需要得8-5分；设备、工具、物料配备基本齐全，基本满足运行管理需要得5-3分；设备、工具、物料配备不能满足运行管理需要或未提供的，得3-0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根据供应商针对本项目有完整的服务质量保障措施，内容合理、措施具体可行、完全符合要求得8-5分；内容较合理、措施可行性一般，基本符合要求得5-3分；内容不完备、措施可行性差、不能全面符合要求得3-0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建立完善的运维管理档案，包括设备运行记录、水质监测报告、维修保养记录等。内容合理、方案具体可行、完全符合要求得10-6分；内容较合理、方案可行性一般，基本符合要求得6-3分；内容不完备、方案可行性差、不能全面符合要求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提供应急预案及突发事件应急保障措施。应急预案内容分析全面、具体、合理，应对突发事件的保障措施详细、可行、有针对性，得10-6分；应急预案内容分析较为全面具体合理，应对突发事件的保障措施较为详细可行，较有针对性，得6-3分；应急预案内容分析一般，应对突发事件的保障措施一般、针对性一般还需完善，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供应商服务过程中的质量、进度、安全、节能、保证相关检测全部合格以及维修响应时间进行承诺。内容合理、具体可行、完全符合要求得10-6分；内容较合理、可行性一般，基本符合要求得6-3分；内容不完备、可行性差、不能全面符合要求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年1月1日至今类似项目业绩，每提供一份得 2 分，最高得6分；没有提供不得分。注：业绩需提供项目中标通知书或施工合同，以中标通知书签发时间或施工合同签订时间为准。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采用低价优先法计算，即满足磋商文件要求且最终磋商报价最低的投标报价为评审基准价，其价格分为满分10分。 投标报价得分＝（评审基准价/投标报价）×10 评委会三分之二以上专家认为某投标报价有低于成本价嫌疑的，为无效投标报价。 注：各供应商的在多次报价中应逐次降价，本次报价超过上次报价的，为无效报价，取消其磋商资格。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