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版本号：ZB2026-ZB014（CGB）20260420002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临潼区马额街道宁家村基础设施提升项目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ZB2026-ZB014（CGB）</w:t>
      </w:r>
      <w:r>
        <w:br/>
      </w:r>
      <w:r>
        <w:br/>
      </w:r>
      <w:r>
        <w:br/>
      </w:r>
    </w:p>
    <w:p>
      <w:pPr>
        <w:pStyle w:val="null3"/>
        <w:jc w:val="center"/>
        <w:outlineLvl w:val="2"/>
      </w:pPr>
      <w:r>
        <w:rPr>
          <w:rFonts w:ascii="仿宋_GB2312" w:hAnsi="仿宋_GB2312" w:cs="仿宋_GB2312" w:eastAsia="仿宋_GB2312"/>
          <w:sz w:val="28"/>
          <w:b/>
        </w:rPr>
        <w:t>西安市临潼区马额街道办事处</w:t>
      </w:r>
    </w:p>
    <w:p>
      <w:pPr>
        <w:pStyle w:val="null3"/>
        <w:jc w:val="center"/>
        <w:outlineLvl w:val="2"/>
      </w:pPr>
      <w:r>
        <w:rPr>
          <w:rFonts w:ascii="仿宋_GB2312" w:hAnsi="仿宋_GB2312" w:cs="仿宋_GB2312" w:eastAsia="仿宋_GB2312"/>
          <w:sz w:val="28"/>
          <w:b/>
        </w:rPr>
        <w:t>西安梓搏咨询管理有限公司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西安梓搏咨询管理有限公司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西安市临潼区马额街道办事处</w:t>
      </w:r>
      <w:r>
        <w:rPr>
          <w:rFonts w:ascii="仿宋_GB2312" w:hAnsi="仿宋_GB2312" w:cs="仿宋_GB2312" w:eastAsia="仿宋_GB2312"/>
        </w:rPr>
        <w:t>委托，拟对</w:t>
      </w:r>
      <w:r>
        <w:rPr>
          <w:rFonts w:ascii="仿宋_GB2312" w:hAnsi="仿宋_GB2312" w:cs="仿宋_GB2312" w:eastAsia="仿宋_GB2312"/>
        </w:rPr>
        <w:t>临潼区马额街道宁家村基础设施提升项目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ZB2026-ZB014（CGB）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临潼区马额街道宁家村基础设施提升项目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区马额街道宁家村基础设施提升项目位于西安市临潼区马额街道宁家村，为提高群众出行便利和生活便捷，完善雨污处置、道路等设施，需铺设5厘米厚沥青道路11916平方米及道路两侧绿化；新修排水管道942米，安装雨水管网422米；道沿安装662米，栽植红叶李、石楠球各110棵，修建检查井、雨水井30眼。</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采购包1（临潼区马额街道宁家村基础设施提升项目）：属于专门面向中小企业采购。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2、法定代表人身份证明书或法人授权委托书：法定代表人身份证明书或法人授权委托书，后附法人及被委托人身份证（法定代表人直接参加投标的，须提供法定代表人证明书）。</w:t>
      </w:r>
    </w:p>
    <w:p>
      <w:pPr>
        <w:pStyle w:val="null3"/>
      </w:pPr>
      <w:r>
        <w:rPr>
          <w:rFonts w:ascii="仿宋_GB2312" w:hAnsi="仿宋_GB2312" w:cs="仿宋_GB2312" w:eastAsia="仿宋_GB2312"/>
        </w:rPr>
        <w:t>3、资质要求：供应商须具备市政公用工程施工总承包二级及以上资质，具有有效的安全生产许可证。</w:t>
      </w:r>
    </w:p>
    <w:p>
      <w:pPr>
        <w:pStyle w:val="null3"/>
      </w:pPr>
      <w:r>
        <w:rPr>
          <w:rFonts w:ascii="仿宋_GB2312" w:hAnsi="仿宋_GB2312" w:cs="仿宋_GB2312" w:eastAsia="仿宋_GB2312"/>
        </w:rPr>
        <w:t>4、项目经理要求：拟派项目经理须具备市政公用工程二级及以上注册建造师执业资格，具有安全生产考核合格证，且在本单位注册，无在建工程。</w:t>
      </w:r>
    </w:p>
    <w:p>
      <w:pPr>
        <w:pStyle w:val="null3"/>
      </w:pPr>
      <w:r>
        <w:rPr>
          <w:rFonts w:ascii="仿宋_GB2312" w:hAnsi="仿宋_GB2312" w:cs="仿宋_GB2312" w:eastAsia="仿宋_GB2312"/>
        </w:rPr>
        <w:t>5、基本资格条件承诺函：供应商只需以书面形式提供规定格式的《基本资格条件承诺函》，供应商须对承诺内容的真实性负责。采购人可以在中标(成交)结果公告后、签订政府采购合同前，核实中标(成交)供应商所作信用承诺事项的真实性。 如未提供基本资格条件承诺函的，应当按照《中华人民共和国政府采购法》及其实施条例的相关规定提供相应的证明材料： ①财务状况报告：提供2024/2025年经审计的财务审计报告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②税收和社保证明：提供投标截止时间前6个月内任意一个月的依法缴纳的税收和社保证明（社会保障资金缴存单据或社保机构开具的社会保险参保缴费情况证明）；依法免税或不需要缴纳社会保障资金的应提供相关证明材料；③无重大违法记录的书面声明：参加政府采购活动前三年内，在经营活动中没有重大违法记录的书面声明；④履行合同能力的承诺书：履行合同所必需的设备和专业技术能力的承诺书；⑤信用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6、供应商关联关系承诺书：单位负责人为同一人或者存在直接控股、管理关系的不同供应商，不得参加同一合同项下的投标活动。</w:t>
      </w:r>
    </w:p>
    <w:p>
      <w:pPr>
        <w:pStyle w:val="null3"/>
      </w:pPr>
      <w:r>
        <w:rPr>
          <w:rFonts w:ascii="仿宋_GB2312" w:hAnsi="仿宋_GB2312" w:cs="仿宋_GB2312" w:eastAsia="仿宋_GB2312"/>
        </w:rPr>
        <w:t>7、非联合体投标声明：本项目不接受联合体投标。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西安市临潼区马额街道办事处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临潼区马额街道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13609297828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西安梓搏咨询管理有限公司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西安市临潼区环城东路东环路小区4号楼101室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宋利利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029-83992983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领取中标通知书时，代理服务费参照计价格【2002】1980号及发改价格【2011】534号文件规定标准计算；工程量清单及招标控制价编制费率参照陕价行发【2014】88号取费标准计算，向“西安梓搏咨询管理有限公司”交纳。户 名：西安梓搏咨询管理有限公司 开户行：工商银行西安临潼区支行 账 号：3700 1733 092 0000 1856</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西安市临潼区马额街道办事处</w:t>
      </w:r>
      <w:r>
        <w:rPr>
          <w:rFonts w:ascii="仿宋_GB2312" w:hAnsi="仿宋_GB2312" w:cs="仿宋_GB2312" w:eastAsia="仿宋_GB2312"/>
        </w:rPr>
        <w:t>和</w:t>
      </w:r>
      <w:r>
        <w:rPr>
          <w:rFonts w:ascii="仿宋_GB2312" w:hAnsi="仿宋_GB2312" w:cs="仿宋_GB2312" w:eastAsia="仿宋_GB2312"/>
        </w:rPr>
        <w:t>西安梓搏咨询管理有限公司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西安市临潼区马额街道办事处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西安梓搏咨询管理有限公司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西安市临潼区马额街道办事处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西安梓搏咨询管理有限公司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联系人：宋利利</w:t>
      </w:r>
    </w:p>
    <w:p>
      <w:pPr>
        <w:pStyle w:val="null3"/>
      </w:pPr>
      <w:r>
        <w:rPr>
          <w:rFonts w:ascii="仿宋_GB2312" w:hAnsi="仿宋_GB2312" w:cs="仿宋_GB2312" w:eastAsia="仿宋_GB2312"/>
        </w:rPr>
        <w:t>联系电话：029-83992983</w:t>
      </w:r>
    </w:p>
    <w:p>
      <w:pPr>
        <w:pStyle w:val="null3"/>
      </w:pPr>
      <w:r>
        <w:rPr>
          <w:rFonts w:ascii="仿宋_GB2312" w:hAnsi="仿宋_GB2312" w:cs="仿宋_GB2312" w:eastAsia="仿宋_GB2312"/>
        </w:rPr>
        <w:t>地址：西安市临潼区环城东路东环路小区4号楼101室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1,984,564.53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马额街道宁家村基础设施提升项目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标的名称：马额街道宁家村基础设施提升项目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1）项目名称：</w:t>
            </w:r>
            <w:r>
              <w:rPr>
                <w:rFonts w:ascii="仿宋_GB2312" w:hAnsi="仿宋_GB2312" w:cs="仿宋_GB2312" w:eastAsia="仿宋_GB2312"/>
                <w:sz w:val="21"/>
              </w:rPr>
              <w:t>临潼区马额街道宁家村基础设施提升项目</w:t>
            </w:r>
          </w:p>
          <w:p>
            <w:pPr>
              <w:pStyle w:val="null3"/>
            </w:pPr>
            <w:r>
              <w:rPr>
                <w:rFonts w:ascii="仿宋_GB2312" w:hAnsi="仿宋_GB2312" w:cs="仿宋_GB2312" w:eastAsia="仿宋_GB2312"/>
                <w:sz w:val="21"/>
              </w:rPr>
              <w:t>（</w:t>
            </w:r>
            <w:r>
              <w:rPr>
                <w:rFonts w:ascii="仿宋_GB2312" w:hAnsi="仿宋_GB2312" w:cs="仿宋_GB2312" w:eastAsia="仿宋_GB2312"/>
                <w:sz w:val="21"/>
              </w:rPr>
              <w:t>2）工程内容：</w:t>
            </w:r>
            <w:r>
              <w:rPr>
                <w:rFonts w:ascii="仿宋_GB2312" w:hAnsi="仿宋_GB2312" w:cs="仿宋_GB2312" w:eastAsia="仿宋_GB2312"/>
                <w:sz w:val="21"/>
              </w:rPr>
              <w:t>铺设</w:t>
            </w:r>
            <w:r>
              <w:rPr>
                <w:rFonts w:ascii="仿宋_GB2312" w:hAnsi="仿宋_GB2312" w:cs="仿宋_GB2312" w:eastAsia="仿宋_GB2312"/>
                <w:sz w:val="21"/>
              </w:rPr>
              <w:t>5厘米厚沥青道路11916平方米及道路两侧绿化；新修排水管道942米，安装雨水管网422米；道沿安装662米，栽植红叶李、石楠球各110棵，修建检查井、雨水井30眼</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3）工程地点：西安市临潼区</w:t>
            </w:r>
            <w:r>
              <w:rPr>
                <w:rFonts w:ascii="仿宋_GB2312" w:hAnsi="仿宋_GB2312" w:cs="仿宋_GB2312" w:eastAsia="仿宋_GB2312"/>
                <w:sz w:val="21"/>
              </w:rPr>
              <w:t>马额</w:t>
            </w:r>
            <w:r>
              <w:rPr>
                <w:rFonts w:ascii="仿宋_GB2312" w:hAnsi="仿宋_GB2312" w:cs="仿宋_GB2312" w:eastAsia="仿宋_GB2312"/>
                <w:sz w:val="21"/>
              </w:rPr>
              <w:t>街道</w:t>
            </w:r>
            <w:r>
              <w:rPr>
                <w:rFonts w:ascii="仿宋_GB2312" w:hAnsi="仿宋_GB2312" w:cs="仿宋_GB2312" w:eastAsia="仿宋_GB2312"/>
                <w:sz w:val="21"/>
              </w:rPr>
              <w:t>宁家</w:t>
            </w:r>
            <w:r>
              <w:rPr>
                <w:rFonts w:ascii="仿宋_GB2312" w:hAnsi="仿宋_GB2312" w:cs="仿宋_GB2312" w:eastAsia="仿宋_GB2312"/>
                <w:sz w:val="21"/>
              </w:rPr>
              <w:t>村</w:t>
            </w:r>
          </w:p>
          <w:p>
            <w:pPr>
              <w:pStyle w:val="null3"/>
            </w:pPr>
            <w:r>
              <w:rPr>
                <w:rFonts w:ascii="仿宋_GB2312" w:hAnsi="仿宋_GB2312" w:cs="仿宋_GB2312" w:eastAsia="仿宋_GB2312"/>
                <w:sz w:val="21"/>
              </w:rPr>
              <w:t>（</w:t>
            </w:r>
            <w:r>
              <w:rPr>
                <w:rFonts w:ascii="仿宋_GB2312" w:hAnsi="仿宋_GB2312" w:cs="仿宋_GB2312" w:eastAsia="仿宋_GB2312"/>
                <w:sz w:val="21"/>
              </w:rPr>
              <w:t>4）工期：45日历天</w:t>
            </w:r>
          </w:p>
          <w:p>
            <w:pPr>
              <w:pStyle w:val="null3"/>
            </w:pPr>
            <w:r>
              <w:rPr>
                <w:rFonts w:ascii="仿宋_GB2312" w:hAnsi="仿宋_GB2312" w:cs="仿宋_GB2312" w:eastAsia="仿宋_GB2312"/>
                <w:sz w:val="21"/>
              </w:rPr>
              <w:t>（</w:t>
            </w:r>
            <w:r>
              <w:rPr>
                <w:rFonts w:ascii="仿宋_GB2312" w:hAnsi="仿宋_GB2312" w:cs="仿宋_GB2312" w:eastAsia="仿宋_GB2312"/>
                <w:sz w:val="21"/>
              </w:rPr>
              <w:t>5）质量要求：符合国家现行有关施工质量验收规范“合格”要求。</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施工要求：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rPr>
              <w:t>所有施工和材料所涉及的标准规范须完全符合所有中华人民共和国的标准及规范。</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在施工期间，中标供应商必须注意人员安全，加强安全措施，并对施工人员进行安全教育。施工人员必须持证上岗。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 2.供应商需要在线提交所有通过电子化交易平台实施的政府采购项目的响应文件，同时，线下递交纸质响应文件，正本壹份、副本壹份，电子文件壹份（U盘存储，内容包括与系统上传后导出完全一致的PDF版响应文件，工程量清单报价的广联达电子版）。所有纸质文件封面须加盖供应商公章鲜章，U盘标明供应商名称后随正本密封。若线上电子响应文件与纸质响应文件不一致以电子响应文件为准;若正本和副本不一致，以正本为准。 线下递交时间同线上响应文件递交截止时间;线下递交文件地点:西安市临潼区环城东路东环路小区4号楼101室。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供应商承诺书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提供基本资格条件承诺函或2024/2025年经审计的财务审计报告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供应商承诺书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法定代表人身份证明书或法人授权委托书</w:t>
            </w:r>
          </w:p>
        </w:tc>
        <w:tc>
          <w:tcPr>
            <w:tcW w:type="dxa" w:w="3322"/>
          </w:tcPr>
          <w:p>
            <w:pPr>
              <w:pStyle w:val="null3"/>
            </w:pPr>
            <w:r>
              <w:rPr>
                <w:rFonts w:ascii="仿宋_GB2312" w:hAnsi="仿宋_GB2312" w:cs="仿宋_GB2312" w:eastAsia="仿宋_GB2312"/>
              </w:rPr>
              <w:t>法定代表人身份证明书或法人授权委托书，后附法人及被委托人身份证（法定代表人直接参加投标的，须提供法定代表人证明书）。</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供应商须具备市政公用工程施工总承包二级及以上资质，具有有效的安全生产许可证。</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拟派项目经理须具备市政公用工程二级及以上注册建造师执业资格，具有安全生产考核合格证，且在本单位注册，无在建工程。</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只需以书面形式提供规定格式的《基本资格条件承诺函》，供应商须对承诺内容的真实性负责。采购人可以在中标(成交)结果公告后、签订政府采购合同前，核实中标(成交)供应商所作信用承诺事项的真实性。 如未提供基本资格条件承诺函的，应当按照《中华人民共和国政府采购法》及其实施条例的相关规定提供相应的证明材料： ①财务状况报告：提供2024/2025年经审计的财务审计报告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②税收和社保证明：提供投标截止时间前6个月内任意一个月的依法缴纳的税收和社保证明（社会保障资金缴存单据或社保机构开具的社会保险参保缴费情况证明）；依法免税或不需要缴纳社会保障资金的应提供相关证明材料；③无重大违法记录的书面声明：参加政府采购活动前三年内，在经营活动中没有重大违法记录的书面声明；④履行合同能力的承诺书：履行合同所必需的设备和专业技术能力的承诺书；⑤信用截图：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供应商关联关系承诺书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供应商资格证明资料 供应商承诺书</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已标价工程量清单 报价函 标的清单 技术服务合同条款及其他商务要求应答表 供应商类似项目业绩一览表 响应函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施工组织设计 报价函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只能有一个有效报价，不得提交选择性报价，且报价不超出相对应标段最高限价金额。</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针对本项目内容提供切实的施工方案。内容合理、方案具体可行、完全符合要求得10-6分；内容较合理、方案可行性一般，基本符合要求得6-3分；内容不完备、方案可行性差、不能全面符合要求得3-0分。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项目机构管理及劳动力投入人员岗位完整，搭配合理，职位分明、有相应的技术能力。人员配备合理、科学可行、完全符合要求得8-5分；人员配备较合理、可行性一般，基本符合要求得5-3分；人员配备不完备、可行性差、不能全面符合要求得3-0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制定切实的总体质量控制目标，且对质量控制目标进行合理分解、规划，确保本项目质量标准符合相关标准。内容合理、方案具体可行、完全符合要求得6-3分；内容较合理、方案可行性一般，基本符合要求得3-1分；内容不完备、方案可行性差、不能全面符合要求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根据本项目的工期要求，提供切实可行的施工进度保障措施，按质按期完成进度计划安排。内容合理、方案具体可行、完全符合要求得6-3分；内容较合理、方案可行性一般，基本符合要求得3-1分；内容不完备、方案可行性差、不能全面符合要求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针对本项目提供安全生产的保证措施。内容合理、方案具体可行、完全符合要求得6-3分；内容较合理、方案可行性一般，基本符合要求得3-1分； 内容不完备、方案可行性差、不能全面符合要求得1-0分。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针对本项目提供文明施工、环保施工等保证措施。内容合理、方案具体可行、完全符合要求得6-3分；内容较合理、方案可行性一般，基本符合要求得3-1分； 内容不完备、方案可行性差、不能全面符合要求得1-0分。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针对本项目提供满足项目施工需要，与项目施工进度相适应的机械配备、材料投入计划。计划完备，详细、可行性强计6-3分；计划较合理、较详细、基本可行得3-1分；计划欠缺或内容不完备得1-0分。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施工进度计划安排科学合理、可行性强计5-3分；计划较合理、基本可行得3-1分；计划内容不完备得1-0分。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针对本项目提出新技术、新产品、新工艺、新材料应用，并提供采用新技术、新产品、新工艺、新材料对工程质量安全、缩短工期、降低成本的措施。方案合理、详尽、满足项目需要得6-3分；方案较合理、基本满足项目需求得3-1分，方案不合理、不能满足项目需求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针对本项目有具体可行的服务承诺。承诺完备，详细、可行性强计6-3分；承诺较合理、较详细、基本可行得3-1分；承诺欠缺或内容不完备得1-0分。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供应商提供2023年1月1日至今类似业绩，每提供一个得2.5分，满分5分。（以合同签订时间或中标通知书签发时间为准）。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投标报价得分＝（评审基准价/投标报价）×30 ， 满足磋商文件要求且报价最低的投标报价为评审基准价，其价格分为满分。 评标委员会三分之二以上专家认为某投标报价有低于成本价嫌疑的，为无效投标报价。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