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452F8">
      <w:pPr>
        <w:pStyle w:val="8"/>
        <w:jc w:val="center"/>
        <w:outlineLvl w:val="1"/>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p>
    <w:tbl>
      <w:tblPr>
        <w:tblStyle w:val="6"/>
        <w:tblW w:w="9386"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589"/>
      </w:tblGrid>
      <w:tr w14:paraId="45A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3EB377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4A130A5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589" w:type="dxa"/>
            <w:vAlign w:val="center"/>
          </w:tcPr>
          <w:p w14:paraId="7C0EBE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18AB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FC925D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697F058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供应商</w:t>
            </w:r>
          </w:p>
          <w:p w14:paraId="5F23BF0D">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资格连续性</w:t>
            </w:r>
          </w:p>
        </w:tc>
        <w:tc>
          <w:tcPr>
            <w:tcW w:w="6589" w:type="dxa"/>
            <w:shd w:val="clear" w:color="auto" w:fill="auto"/>
            <w:vAlign w:val="center"/>
          </w:tcPr>
          <w:p w14:paraId="399AC666">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1）供应商发生合并、分立、破产等重大变化的，应及时</w:t>
            </w:r>
            <w:r>
              <w:rPr>
                <w:rFonts w:hint="default" w:ascii="仿宋" w:hAnsi="仿宋" w:eastAsia="仿宋" w:cs="仿宋"/>
                <w:color w:val="auto"/>
                <w:kern w:val="2"/>
                <w:sz w:val="24"/>
                <w:szCs w:val="24"/>
                <w:highlight w:val="none"/>
                <w:lang w:val="en-US" w:eastAsia="zh-CN" w:bidi="ar-SA"/>
              </w:rPr>
              <w:t>书面</w:t>
            </w:r>
            <w:r>
              <w:rPr>
                <w:rFonts w:hint="eastAsia" w:ascii="仿宋" w:hAnsi="仿宋" w:eastAsia="仿宋" w:cs="仿宋"/>
                <w:color w:val="auto"/>
                <w:kern w:val="2"/>
                <w:sz w:val="24"/>
                <w:szCs w:val="24"/>
                <w:highlight w:val="none"/>
                <w:lang w:val="en-US" w:eastAsia="zh-CN" w:bidi="ar-SA"/>
              </w:rPr>
              <w:t>告知采购人，否则承担一切不利后果。重大变化导致供应商或成交人不再符合采购要求或不能正常履约的，任何时候采购人均有权取消其响应或成交资格。</w:t>
            </w:r>
          </w:p>
          <w:p w14:paraId="15397D93">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成交人须保证企业及项目履约的必备资质及相关证书的有效性、连续性。在采购活动的全过程（含履约）中，如遇资质或证书临界到期需更换，成交人应提前及时续办，始终保持合规合法有效的成交人资格，否则采购人有权随时取消其成交或履约资格，由此造成的后果由成交人自行承担。</w:t>
            </w:r>
          </w:p>
        </w:tc>
      </w:tr>
      <w:tr w14:paraId="3986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2B9A74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2A7E5E80">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现场勘查</w:t>
            </w:r>
          </w:p>
        </w:tc>
        <w:tc>
          <w:tcPr>
            <w:tcW w:w="6589" w:type="dxa"/>
            <w:shd w:val="clear" w:color="auto" w:fill="auto"/>
            <w:vAlign w:val="center"/>
          </w:tcPr>
          <w:p w14:paraId="317DEB4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p w14:paraId="331FBBA7">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1.若需自行踏勘，请联系采购人。在踏勘现场中发生的费用、人员伤亡和财产损失均由供应商自行负责。</w:t>
            </w:r>
          </w:p>
          <w:p w14:paraId="112EA5B8">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2.供应商在踏勘现场中了解到的相关情况，仅供其在响应文件时参考，采购人不对供应商据此作出的判断和决策负责。</w:t>
            </w:r>
          </w:p>
        </w:tc>
      </w:tr>
      <w:tr w14:paraId="2DDF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D9AC10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2DA2CFCB">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标前答疑会</w:t>
            </w:r>
          </w:p>
        </w:tc>
        <w:tc>
          <w:tcPr>
            <w:tcW w:w="6589" w:type="dxa"/>
            <w:shd w:val="clear" w:color="auto" w:fill="auto"/>
            <w:vAlign w:val="center"/>
          </w:tcPr>
          <w:p w14:paraId="0170D93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tc>
      </w:tr>
      <w:tr w14:paraId="5B11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66D52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43D67EE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rPr>
              <w:t>文件</w:t>
            </w:r>
          </w:p>
        </w:tc>
        <w:tc>
          <w:tcPr>
            <w:tcW w:w="6589" w:type="dxa"/>
            <w:tcBorders>
              <w:left w:val="nil"/>
            </w:tcBorders>
            <w:vAlign w:val="center"/>
          </w:tcPr>
          <w:p w14:paraId="22EE7B61">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0172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E8DD2C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18A8CD8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磋商文件的</w:t>
            </w:r>
          </w:p>
          <w:p w14:paraId="0FF4B60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sz w:val="24"/>
                <w:szCs w:val="24"/>
                <w:highlight w:val="none"/>
              </w:rPr>
              <w:t>澄清、修改</w:t>
            </w:r>
          </w:p>
        </w:tc>
        <w:tc>
          <w:tcPr>
            <w:tcW w:w="6589" w:type="dxa"/>
            <w:vAlign w:val="top"/>
          </w:tcPr>
          <w:p w14:paraId="796E686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en-US" w:eastAsia="zh-CN"/>
              </w:rPr>
              <w:t>文件发出后，</w:t>
            </w:r>
            <w:r>
              <w:rPr>
                <w:rFonts w:hint="eastAsia" w:ascii="仿宋" w:hAnsi="仿宋" w:eastAsia="仿宋" w:cs="仿宋"/>
                <w:color w:val="auto"/>
                <w:kern w:val="2"/>
                <w:sz w:val="24"/>
                <w:szCs w:val="24"/>
                <w:lang w:val="en-US" w:eastAsia="zh-CN" w:bidi="ar-SA"/>
              </w:rPr>
              <w:t>采购人或者代理机构可以对已发出的</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652F11D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r>
              <w:rPr>
                <w:rFonts w:hint="eastAsia" w:ascii="仿宋" w:hAnsi="仿宋" w:eastAsia="仿宋" w:cs="仿宋"/>
                <w:sz w:val="24"/>
                <w:szCs w:val="24"/>
                <w:lang w:val="en-US" w:eastAsia="zh-CN"/>
              </w:rPr>
              <w:t>说明、澄清或修改</w:t>
            </w:r>
            <w:r>
              <w:rPr>
                <w:rFonts w:hint="eastAsia" w:ascii="仿宋" w:hAnsi="仿宋" w:eastAsia="仿宋" w:cs="仿宋"/>
                <w:color w:val="auto"/>
                <w:kern w:val="2"/>
                <w:sz w:val="24"/>
                <w:szCs w:val="24"/>
                <w:lang w:val="en-US" w:eastAsia="zh-CN" w:bidi="ar-SA"/>
              </w:rPr>
              <w:t>的内容为</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文件的组成部分，采购人或者代理机构将在陕西省政府采购网以公告形式通知所有已合法获取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文件的供应商。澄清、修改内容可能影响响应文件编制的，应在提交首次响应文件截止之日5个工作日前进行，不足顺延。</w:t>
            </w:r>
          </w:p>
          <w:p w14:paraId="37AA983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780B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6065BD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214ECD8B">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589" w:type="dxa"/>
            <w:vAlign w:val="top"/>
          </w:tcPr>
          <w:p w14:paraId="469A5783">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对于文件中出现的同一内容前后不一致、表述不准确、笔误/瑕疵、漏项等问题，供应商应及时向代理公司提出咨询、确认，否则应视为其完全理解和接受</w:t>
            </w:r>
            <w:r>
              <w:rPr>
                <w:rFonts w:hint="eastAsia" w:ascii="仿宋" w:hAnsi="仿宋" w:eastAsia="仿宋" w:cs="仿宋"/>
                <w:color w:val="auto"/>
                <w:sz w:val="24"/>
                <w:szCs w:val="24"/>
                <w:highlight w:val="none"/>
              </w:rPr>
              <w:t>磋商</w:t>
            </w:r>
            <w:r>
              <w:rPr>
                <w:rFonts w:hint="eastAsia" w:ascii="仿宋" w:hAnsi="仿宋" w:eastAsia="仿宋" w:cs="仿宋"/>
                <w:color w:val="auto"/>
                <w:sz w:val="24"/>
                <w:highlight w:val="none"/>
                <w:lang w:val="en-US" w:eastAsia="zh-CN"/>
              </w:rPr>
              <w:t>文件，对此造成的不良后果自担</w:t>
            </w:r>
            <w:r>
              <w:rPr>
                <w:rFonts w:hint="eastAsia" w:ascii="仿宋" w:hAnsi="仿宋" w:eastAsia="仿宋" w:cs="仿宋"/>
                <w:color w:val="auto"/>
                <w:sz w:val="24"/>
                <w:szCs w:val="24"/>
                <w:highlight w:val="none"/>
                <w:lang w:val="en-US" w:eastAsia="zh-CN"/>
              </w:rPr>
              <w:t>。</w:t>
            </w:r>
          </w:p>
          <w:p w14:paraId="28348288">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2.供应商对</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文件的自我理解、判定、推测等造成的不利后果自行承担。</w:t>
            </w:r>
          </w:p>
          <w:p w14:paraId="0A8DC785">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rPr>
              <w:t>3.采购人有权拒绝接收或回复供应商逾期提出的任何要求。</w:t>
            </w:r>
          </w:p>
        </w:tc>
      </w:tr>
      <w:tr w14:paraId="18DD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5CD719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5</w:t>
            </w:r>
          </w:p>
        </w:tc>
        <w:tc>
          <w:tcPr>
            <w:tcW w:w="1907" w:type="dxa"/>
            <w:tcBorders>
              <w:right w:val="nil"/>
            </w:tcBorders>
            <w:vAlign w:val="center"/>
          </w:tcPr>
          <w:p w14:paraId="0DB3538D">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kern w:val="0"/>
                <w:sz w:val="24"/>
                <w:szCs w:val="24"/>
              </w:rPr>
              <w:t>响应</w:t>
            </w:r>
            <w:r>
              <w:rPr>
                <w:rFonts w:hint="eastAsia" w:ascii="仿宋" w:hAnsi="仿宋" w:eastAsia="仿宋" w:cs="仿宋"/>
                <w:color w:val="auto"/>
                <w:sz w:val="24"/>
                <w:szCs w:val="24"/>
              </w:rPr>
              <w:t>文件</w:t>
            </w:r>
          </w:p>
        </w:tc>
        <w:tc>
          <w:tcPr>
            <w:tcW w:w="6589" w:type="dxa"/>
            <w:tcBorders>
              <w:left w:val="nil"/>
            </w:tcBorders>
            <w:vAlign w:val="top"/>
          </w:tcPr>
          <w:p w14:paraId="35D694D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6214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1B7DA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7177AA83">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供应商对响应文件的补充、修改、</w:t>
            </w:r>
            <w:r>
              <w:rPr>
                <w:rFonts w:hint="default" w:ascii="仿宋" w:hAnsi="仿宋" w:eastAsia="仿宋" w:cs="仿宋"/>
                <w:color w:val="auto"/>
                <w:sz w:val="24"/>
                <w:szCs w:val="24"/>
                <w:lang w:val="en-US" w:eastAsia="zh-CN"/>
              </w:rPr>
              <w:t>撤回</w:t>
            </w:r>
          </w:p>
        </w:tc>
        <w:tc>
          <w:tcPr>
            <w:tcW w:w="6589" w:type="dxa"/>
            <w:shd w:val="clear" w:color="auto" w:fill="auto"/>
            <w:vAlign w:val="top"/>
          </w:tcPr>
          <w:p w14:paraId="128FB1A9">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1.供应商在提交首次响应文件截止时间前，供应商可以补充、修改或者撤回已成功提交的响应文件；对响应文件进行补充、修改的，应当先行撤回已提交的响应文件，补充、修改后重新提交。</w:t>
            </w:r>
          </w:p>
          <w:p w14:paraId="0F0CE27E">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2.供应商响应文件撤回后，视为未提交过响应文件。</w:t>
            </w:r>
          </w:p>
        </w:tc>
      </w:tr>
      <w:tr w14:paraId="2E3EF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70B0D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w:t>
            </w:r>
          </w:p>
        </w:tc>
        <w:tc>
          <w:tcPr>
            <w:tcW w:w="1907" w:type="dxa"/>
            <w:shd w:val="clear" w:color="auto" w:fill="auto"/>
            <w:vAlign w:val="center"/>
          </w:tcPr>
          <w:p w14:paraId="66F4649B">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磋商响应</w:t>
            </w:r>
          </w:p>
        </w:tc>
        <w:tc>
          <w:tcPr>
            <w:tcW w:w="6589" w:type="dxa"/>
            <w:shd w:val="clear" w:color="auto" w:fill="auto"/>
            <w:vAlign w:val="center"/>
          </w:tcPr>
          <w:p w14:paraId="632558B2">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1.无论磋商文件是否规定，供应商均应满足国家、行业及地方对企业、产品、技术、服务等的强制性要求，实质性响应采购要求，且提供的技术、质量、服务等应能满足国家、行业标准规范以及本次采购要求。</w:t>
            </w:r>
          </w:p>
          <w:p w14:paraId="073F434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项目评审时依据磋商文件规定的响应关联文件进行要素评审：关联文件相应内容与响应文件前后不一致，以关联文件内容为准；响应文件其他内容前后不一致，以磋商小组要求澄清说明后的内容为准，若未经澄清则以磋商要求为依据，以对采购人有利为原则的方法进行确认。</w:t>
            </w:r>
          </w:p>
          <w:p w14:paraId="2DBA459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若合同签订或履约期间与项目相关的国家、行业标准规范废止或更新，双方可依法进行变更，由双方以补充协议的方式进行并做好详细说明、记录。评审期间发生以上情形，不影响磋商小组按磋商文件规定的评审标准、评审办法评审的原则。</w:t>
            </w:r>
          </w:p>
          <w:p w14:paraId="49840E6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磋商时应提前备好相关响应文件原件，以备评审时核查，否则后果自负。合同签订前，采购人有权对成交人的响应文件原件及关键参数进行核查、检验，拒不配合或有不实，上报监管部门，且可随时取消其成交资格。</w:t>
            </w:r>
          </w:p>
        </w:tc>
      </w:tr>
      <w:tr w14:paraId="4612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1C7B66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5.3</w:t>
            </w:r>
          </w:p>
        </w:tc>
        <w:tc>
          <w:tcPr>
            <w:tcW w:w="1907" w:type="dxa"/>
            <w:shd w:val="clear" w:color="auto" w:fill="auto"/>
            <w:vAlign w:val="center"/>
          </w:tcPr>
          <w:p w14:paraId="1BDB7FE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磋</w:t>
            </w:r>
            <w:r>
              <w:rPr>
                <w:rFonts w:hint="eastAsia" w:ascii="仿宋" w:hAnsi="仿宋" w:eastAsia="仿宋" w:cs="仿宋"/>
                <w:color w:val="auto"/>
                <w:sz w:val="24"/>
                <w:szCs w:val="24"/>
                <w:highlight w:val="none"/>
                <w:lang w:val="en-US" w:eastAsia="zh-CN"/>
              </w:rPr>
              <w:t>商（响应）</w:t>
            </w:r>
            <w:r>
              <w:rPr>
                <w:rFonts w:hint="eastAsia" w:ascii="仿宋" w:hAnsi="仿宋" w:eastAsia="仿宋" w:cs="仿宋"/>
                <w:color w:val="auto"/>
                <w:sz w:val="24"/>
                <w:szCs w:val="24"/>
                <w:highlight w:val="none"/>
              </w:rPr>
              <w:t>报</w:t>
            </w:r>
            <w:r>
              <w:rPr>
                <w:rFonts w:hint="eastAsia" w:ascii="仿宋" w:hAnsi="仿宋" w:eastAsia="仿宋" w:cs="仿宋"/>
                <w:sz w:val="24"/>
                <w:szCs w:val="24"/>
                <w:highlight w:val="none"/>
              </w:rPr>
              <w:t>价</w:t>
            </w:r>
          </w:p>
        </w:tc>
        <w:tc>
          <w:tcPr>
            <w:tcW w:w="6589" w:type="dxa"/>
            <w:shd w:val="clear" w:color="auto" w:fill="auto"/>
            <w:vAlign w:val="center"/>
          </w:tcPr>
          <w:p w14:paraId="4BEA9D3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sz w:val="24"/>
                <w:szCs w:val="24"/>
                <w:highlight w:val="none"/>
                <w:lang w:val="en-US" w:eastAsia="zh-CN"/>
              </w:rPr>
              <w:t>报</w:t>
            </w:r>
            <w:r>
              <w:rPr>
                <w:rFonts w:hint="eastAsia" w:ascii="仿宋" w:hAnsi="仿宋" w:eastAsia="仿宋" w:cs="仿宋"/>
                <w:color w:val="auto"/>
                <w:sz w:val="24"/>
                <w:szCs w:val="24"/>
                <w:highlight w:val="none"/>
                <w:lang w:val="en-US" w:eastAsia="zh-CN"/>
              </w:rPr>
              <w:t>价方式：总价（含税）。</w:t>
            </w:r>
          </w:p>
          <w:p w14:paraId="2BCA952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2.本项目磋商（响应）报价包含按采购要求及投标响应完成本项目所发生的可预见和不可预见的一切费用，采购人不再支付任何费用（合同另有约定的事项除外）。</w:t>
            </w:r>
          </w:p>
          <w:p w14:paraId="43DF980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w:t>
            </w:r>
            <w:r>
              <w:rPr>
                <w:rFonts w:hint="eastAsia" w:ascii="仿宋" w:hAnsi="仿宋" w:eastAsia="仿宋" w:cs="仿宋"/>
                <w:sz w:val="24"/>
                <w:szCs w:val="24"/>
              </w:rPr>
              <w:t>成交</w:t>
            </w:r>
            <w:r>
              <w:rPr>
                <w:rFonts w:hint="eastAsia" w:ascii="仿宋" w:hAnsi="仿宋" w:eastAsia="仿宋" w:cs="仿宋"/>
                <w:color w:val="auto"/>
                <w:sz w:val="24"/>
                <w:szCs w:val="24"/>
                <w:highlight w:val="none"/>
                <w:lang w:val="en-US" w:eastAsia="zh-CN"/>
              </w:rPr>
              <w:t>价在合同期内应固定不变。（依法变更的除外）。</w:t>
            </w:r>
          </w:p>
          <w:p w14:paraId="6C15CD66">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应及时了解和掌握项目情况及所在地区与本项目相关的政策、规定及价格等情况，结合企业自身技术力量、装备管理水平及市场行情，做到报价准确合理、合法合规，减少失误，报价失误及风险自行承担。严格执行国家或行业强制性规定，不得违反相关法律法规及政策性文件，不得违反《价格法》和《反不正当竞争法》的相关规定。因误读、理解偏差、对文件、项目或政策了解不全等原因造成的后果，供应商自行承担。</w:t>
            </w:r>
          </w:p>
          <w:p w14:paraId="086B552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5.少报费用视为已含在总报价中</w:t>
            </w:r>
            <w:r>
              <w:rPr>
                <w:rFonts w:hint="eastAsia" w:ascii="仿宋" w:hAnsi="仿宋" w:eastAsia="仿宋" w:cs="仿宋"/>
                <w:color w:val="auto"/>
                <w:sz w:val="24"/>
                <w:szCs w:val="24"/>
                <w:lang w:val="en-US" w:eastAsia="zh-CN"/>
              </w:rPr>
              <w:t>。</w:t>
            </w:r>
          </w:p>
        </w:tc>
      </w:tr>
      <w:tr w14:paraId="6005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7B0017">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5.4</w:t>
            </w:r>
          </w:p>
        </w:tc>
        <w:tc>
          <w:tcPr>
            <w:tcW w:w="1907" w:type="dxa"/>
            <w:shd w:val="clear" w:color="auto" w:fill="auto"/>
            <w:vAlign w:val="center"/>
          </w:tcPr>
          <w:p w14:paraId="2C2009A5">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eastAsia="zh-CN"/>
              </w:rPr>
              <w:t>磋商</w:t>
            </w:r>
            <w:r>
              <w:rPr>
                <w:rFonts w:hint="eastAsia" w:ascii="仿宋" w:hAnsi="仿宋" w:eastAsia="仿宋" w:cs="仿宋"/>
                <w:kern w:val="2"/>
                <w:sz w:val="24"/>
                <w:szCs w:val="24"/>
                <w:lang w:val="en-US" w:eastAsia="zh-CN" w:bidi="ar-SA"/>
              </w:rPr>
              <w:t>规则</w:t>
            </w:r>
          </w:p>
        </w:tc>
        <w:tc>
          <w:tcPr>
            <w:tcW w:w="6589" w:type="dxa"/>
            <w:shd w:val="clear" w:color="auto" w:fill="auto"/>
            <w:vAlign w:val="center"/>
          </w:tcPr>
          <w:p w14:paraId="5CFA65AD">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1.磋商轮次和报价次数根据磋商情况由磋商小组决定，磋商轮次至少一轮，报价次数不少于两次（含首次响应报价），最后报价确认为异常低价，响应无效。</w:t>
            </w:r>
          </w:p>
          <w:p w14:paraId="69EA03CB">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磋商过程可能实质性变动采购需求中的技术、服务及合同条款等（磋商文件规定的实质性内容不得变动），变动后的内容须经采购人认可，并通知进入磋商环节的所有供应商，磋商结束后，供应商根据磋商变化后的内容提交响应文件和最后响应报价，磋商小组以提交的最后响应文件和报价进行评审。</w:t>
            </w:r>
          </w:p>
          <w:p w14:paraId="1515C432">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3.在提交最后报价之前，供应商可以根据磋商情况退出磋商。</w:t>
            </w:r>
          </w:p>
        </w:tc>
      </w:tr>
      <w:tr w14:paraId="2D15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AB0EF8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5.5</w:t>
            </w:r>
          </w:p>
        </w:tc>
        <w:tc>
          <w:tcPr>
            <w:tcW w:w="1907" w:type="dxa"/>
            <w:shd w:val="clear" w:color="auto" w:fill="auto"/>
            <w:vAlign w:val="center"/>
          </w:tcPr>
          <w:p w14:paraId="3BF6709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磋商响应</w:t>
            </w:r>
          </w:p>
        </w:tc>
        <w:tc>
          <w:tcPr>
            <w:tcW w:w="6589" w:type="dxa"/>
            <w:shd w:val="clear" w:color="auto" w:fill="auto"/>
            <w:vAlign w:val="center"/>
          </w:tcPr>
          <w:p w14:paraId="4ADE1BA5">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1.无论磋商文件是否规定，供应商均应满足国家、行业及地方对企业、产品、技术、服务等的强制性要求。</w:t>
            </w:r>
          </w:p>
          <w:p w14:paraId="20B58A3E">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项目评审时依据磋商文件规定的关联文件进行要素评审：关联文件相应内容与磋商响应文件前后不一致，以关联文件内容为准；磋商响应文件其他内容前后不一致，以磋商小组要求澄清说明后的内容为准，否则以磋商要求为依据确认对采购人有利的内容为准。</w:t>
            </w:r>
          </w:p>
          <w:p w14:paraId="297B3AFE">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若合同签订或履约期间与项目相关的国家、行业标准规范废止或更新，双方可依法进行变更，由合同双方以补充协议的方式进行并做好详细说明、记录。评审期间发生以上情形，不影响磋商小组按磋商文件规定的评审标准、评审办法评审的原则。</w:t>
            </w:r>
          </w:p>
          <w:p w14:paraId="40E0CAA4">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4.合同签订前，采购人有权对成交人的响应文件原件及关键参数、性能等进行核验，拒不配合或有不实，上报监管部门，且可随时取消其成交资格。</w:t>
            </w:r>
          </w:p>
        </w:tc>
      </w:tr>
      <w:tr w14:paraId="47D3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F5B299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5.6</w:t>
            </w:r>
          </w:p>
        </w:tc>
        <w:tc>
          <w:tcPr>
            <w:tcW w:w="1907" w:type="dxa"/>
            <w:shd w:val="clear" w:color="auto" w:fill="auto"/>
            <w:vAlign w:val="center"/>
          </w:tcPr>
          <w:p w14:paraId="04E58D3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线下纸质文件编制、提交要求</w:t>
            </w:r>
          </w:p>
        </w:tc>
        <w:tc>
          <w:tcPr>
            <w:tcW w:w="6589" w:type="dxa"/>
            <w:shd w:val="clear" w:color="auto" w:fill="auto"/>
            <w:vAlign w:val="top"/>
          </w:tcPr>
          <w:p w14:paraId="00012C9A">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为方便复核线上评标结果和留存备案，要求供应商须提交线下纸质磋商响应文件，具体要求如下：</w:t>
            </w:r>
          </w:p>
          <w:p w14:paraId="717F6C13">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1.线上文件编制完成定稿后，应将其完整下载并打印、装订，线上线下不一致或未按要求提交纸质响应文件造成的后果自负。</w:t>
            </w:r>
          </w:p>
          <w:p w14:paraId="478F85F9">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2.装订形式：按资质、商务、技术等顺序装订成一册，并编制目录。（可分上中下或第一、二、...册等多册，以胶装或线装等非活页形式装订）。</w:t>
            </w:r>
          </w:p>
          <w:p w14:paraId="7E1E302F">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3.数量：两套。</w:t>
            </w:r>
          </w:p>
          <w:p w14:paraId="7234B7AD">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4.线下与线上文件不一致以线上为准。</w:t>
            </w:r>
          </w:p>
        </w:tc>
      </w:tr>
      <w:tr w14:paraId="270B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7B3750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5.7</w:t>
            </w:r>
          </w:p>
        </w:tc>
        <w:tc>
          <w:tcPr>
            <w:tcW w:w="1907" w:type="dxa"/>
            <w:vAlign w:val="center"/>
          </w:tcPr>
          <w:p w14:paraId="3A56287B">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响应备选方案</w:t>
            </w:r>
          </w:p>
        </w:tc>
        <w:tc>
          <w:tcPr>
            <w:tcW w:w="6589" w:type="dxa"/>
            <w:vAlign w:val="center"/>
          </w:tcPr>
          <w:p w14:paraId="6E6895F3">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不允许</w:t>
            </w:r>
          </w:p>
        </w:tc>
      </w:tr>
      <w:tr w14:paraId="2456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043923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w:t>
            </w:r>
          </w:p>
        </w:tc>
        <w:tc>
          <w:tcPr>
            <w:tcW w:w="1907" w:type="dxa"/>
            <w:shd w:val="clear" w:color="auto" w:fill="auto"/>
            <w:vAlign w:val="center"/>
          </w:tcPr>
          <w:p w14:paraId="1AAD020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★实质性要求</w:t>
            </w:r>
          </w:p>
        </w:tc>
        <w:tc>
          <w:tcPr>
            <w:tcW w:w="6589" w:type="dxa"/>
            <w:shd w:val="clear" w:color="auto" w:fill="auto"/>
            <w:vAlign w:val="center"/>
          </w:tcPr>
          <w:p w14:paraId="209F704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1.供应商资格要求；2.符合性要求；3.法律法规和磋商文件规定的其他实质性要求。</w:t>
            </w:r>
          </w:p>
        </w:tc>
      </w:tr>
      <w:tr w14:paraId="28D1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B4A758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w:t>
            </w:r>
          </w:p>
        </w:tc>
        <w:tc>
          <w:tcPr>
            <w:tcW w:w="1907" w:type="dxa"/>
            <w:shd w:val="clear" w:color="auto" w:fill="auto"/>
            <w:vAlign w:val="center"/>
          </w:tcPr>
          <w:p w14:paraId="5EC54D7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约定与标准</w:t>
            </w:r>
          </w:p>
        </w:tc>
        <w:tc>
          <w:tcPr>
            <w:tcW w:w="6589" w:type="dxa"/>
            <w:shd w:val="clear" w:color="auto" w:fill="auto"/>
            <w:vAlign w:val="center"/>
          </w:tcPr>
          <w:p w14:paraId="107FD9F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成交人在磋商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3CD7022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本磋商文件所拟订的技术为基本/主要技术要求，并未对一切技术细节做出规定，也未充分引述有关标准和规范条文，供应商所提供的服务、货物、性能和功能应不低于本文件条款的要求，并应按本磋商文件的要求提交符合本技术要求规定及与项目有关的完整的技术方案。</w:t>
            </w:r>
          </w:p>
          <w:p w14:paraId="67671CB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3.供应商必须保证所提供服务、货物等的质量满足国家或行业现行法律法规及相关规章和采购要求，并且承担所有在合同中指定的责任和义务。</w:t>
            </w:r>
          </w:p>
          <w:p w14:paraId="45ADD5F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服务/产品须是成熟的、市场供应充足的、能保证正常履约的。成交后不能以任何理由对磋商、响应做实质性的修改（如服务内容、服务标准、工期、变更货物品牌、减少配置、改变性能功能、变更价格、减少数量等），导致采购人与成交人之间权利义务发生重大变化。若确实需要变更，则由采购人上报监管部门审批，依法进行处理。</w:t>
            </w:r>
          </w:p>
        </w:tc>
      </w:tr>
      <w:tr w14:paraId="1CD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B378EF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8</w:t>
            </w:r>
          </w:p>
        </w:tc>
        <w:tc>
          <w:tcPr>
            <w:tcW w:w="1907" w:type="dxa"/>
            <w:shd w:val="clear" w:color="auto" w:fill="auto"/>
            <w:vAlign w:val="center"/>
          </w:tcPr>
          <w:p w14:paraId="3A416E0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589" w:type="dxa"/>
            <w:shd w:val="clear" w:color="auto" w:fill="auto"/>
            <w:vAlign w:val="center"/>
          </w:tcPr>
          <w:p w14:paraId="6D0E531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3491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72C1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p>
        </w:tc>
        <w:tc>
          <w:tcPr>
            <w:tcW w:w="1907" w:type="dxa"/>
            <w:tcBorders>
              <w:right w:val="nil"/>
            </w:tcBorders>
            <w:vAlign w:val="center"/>
          </w:tcPr>
          <w:p w14:paraId="3DB5CE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589" w:type="dxa"/>
            <w:tcBorders>
              <w:left w:val="nil"/>
            </w:tcBorders>
            <w:vAlign w:val="center"/>
          </w:tcPr>
          <w:p w14:paraId="04BA17B2">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402D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5CBD65">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310A23C6">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589" w:type="dxa"/>
            <w:shd w:val="clear" w:color="auto" w:fill="auto"/>
            <w:vAlign w:val="center"/>
          </w:tcPr>
          <w:p w14:paraId="678FE3F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1.中小企业判定依据：《中小企业划型标准规定》。</w:t>
            </w:r>
          </w:p>
          <w:p w14:paraId="04E3D92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2186A87B">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240C0B8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4.供应商提供《中小企业声明函》（或《残疾人福利性单位声明函》、《监狱或戒毒企业声明函》），并对声明的真实性、准确性、有效性负责。</w:t>
            </w:r>
          </w:p>
          <w:p w14:paraId="0EFB68B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5.成交人提供的《中小企业声明函》、《残疾人福利性单位声明函》、《监狱或戒毒企业声明函》随同成交结果公示，接受社会监督，若有不实，将承担经济和法律后果。</w:t>
            </w:r>
          </w:p>
          <w:p w14:paraId="59BE69D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6.享受扶持政策获得政府采购合同的，小微企业不得将合同分包给大中型企业，中型企业不得将合同分包给大型企业。</w:t>
            </w:r>
          </w:p>
          <w:p w14:paraId="54404E2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7.发生纠纷时，对中小企业的最终认定，由磋商企业注册登记所在地的县级以上人民政府中小企业主管部门负责。</w:t>
            </w:r>
          </w:p>
        </w:tc>
      </w:tr>
      <w:tr w14:paraId="2D87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E58B2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23826781">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0C50D9B7">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589" w:type="dxa"/>
            <w:shd w:val="clear" w:color="auto" w:fill="auto"/>
            <w:vAlign w:val="center"/>
          </w:tcPr>
          <w:p w14:paraId="28BF162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1.本项目所属行业：租赁和商务服务业</w:t>
            </w:r>
          </w:p>
          <w:p w14:paraId="7554190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2.划型标准：</w:t>
            </w:r>
            <w:r>
              <w:rPr>
                <w:rFonts w:hint="eastAsia" w:ascii="仿宋" w:hAnsi="仿宋" w:eastAsia="仿宋" w:cs="仿宋"/>
                <w:color w:val="auto"/>
                <w:sz w:val="24"/>
                <w:szCs w:val="24"/>
                <w:lang w:val="en-US" w:eastAsia="zh-CN"/>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tc>
      </w:tr>
      <w:tr w14:paraId="56B4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4C1B7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484E8863">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589" w:type="dxa"/>
            <w:shd w:val="clear" w:color="auto" w:fill="auto"/>
            <w:vAlign w:val="center"/>
          </w:tcPr>
          <w:p w14:paraId="01B632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58B1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5999B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9.4</w:t>
            </w:r>
          </w:p>
        </w:tc>
        <w:tc>
          <w:tcPr>
            <w:tcW w:w="1907" w:type="dxa"/>
            <w:shd w:val="clear" w:color="auto" w:fill="auto"/>
            <w:vAlign w:val="center"/>
          </w:tcPr>
          <w:p w14:paraId="3CD88BA2">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486AA957">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589" w:type="dxa"/>
            <w:shd w:val="clear" w:color="auto" w:fill="auto"/>
            <w:vAlign w:val="center"/>
          </w:tcPr>
          <w:p w14:paraId="4858EF4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形，磋商小组可要求供应商予以澄清，澄清后符合中小企业条件的，该声明函有效，否则无效。</w:t>
            </w:r>
          </w:p>
        </w:tc>
      </w:tr>
      <w:tr w14:paraId="7D01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BBA2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w:t>
            </w:r>
          </w:p>
        </w:tc>
        <w:tc>
          <w:tcPr>
            <w:tcW w:w="1907" w:type="dxa"/>
            <w:tcBorders>
              <w:right w:val="nil"/>
            </w:tcBorders>
            <w:vAlign w:val="center"/>
          </w:tcPr>
          <w:p w14:paraId="55EA803C">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589" w:type="dxa"/>
            <w:tcBorders>
              <w:left w:val="nil"/>
            </w:tcBorders>
            <w:vAlign w:val="center"/>
          </w:tcPr>
          <w:p w14:paraId="2E3718CD">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3C14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086240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10.1</w:t>
            </w:r>
          </w:p>
        </w:tc>
        <w:tc>
          <w:tcPr>
            <w:tcW w:w="1907" w:type="dxa"/>
            <w:vAlign w:val="center"/>
          </w:tcPr>
          <w:p w14:paraId="259F7FC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589" w:type="dxa"/>
            <w:vAlign w:val="center"/>
          </w:tcPr>
          <w:p w14:paraId="3B7CD1C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固定总价合同</w:t>
            </w:r>
          </w:p>
        </w:tc>
      </w:tr>
      <w:tr w14:paraId="29B4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A224F5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10.2</w:t>
            </w:r>
          </w:p>
        </w:tc>
        <w:tc>
          <w:tcPr>
            <w:tcW w:w="1907" w:type="dxa"/>
            <w:shd w:val="clear" w:color="auto" w:fill="auto"/>
            <w:vAlign w:val="center"/>
          </w:tcPr>
          <w:p w14:paraId="5EA69C9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val="en-US" w:eastAsia="zh-CN"/>
              </w:rPr>
              <w:t>合同订立</w:t>
            </w:r>
          </w:p>
        </w:tc>
        <w:tc>
          <w:tcPr>
            <w:tcW w:w="6589" w:type="dxa"/>
            <w:shd w:val="clear" w:color="auto" w:fill="auto"/>
            <w:vAlign w:val="center"/>
          </w:tcPr>
          <w:p w14:paraId="51A96A85">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val="en-US" w:eastAsia="zh-CN"/>
              </w:rPr>
              <w:t>自成交</w:t>
            </w:r>
            <w:r>
              <w:rPr>
                <w:rFonts w:hint="eastAsia" w:ascii="仿宋" w:hAnsi="仿宋" w:eastAsia="仿宋" w:cs="仿宋"/>
                <w:bCs/>
                <w:color w:val="auto"/>
                <w:sz w:val="24"/>
                <w:szCs w:val="24"/>
              </w:rPr>
              <w:t>通知书</w:t>
            </w:r>
            <w:r>
              <w:rPr>
                <w:rFonts w:hint="eastAsia" w:ascii="仿宋" w:hAnsi="仿宋" w:eastAsia="仿宋" w:cs="仿宋"/>
                <w:bCs/>
                <w:color w:val="auto"/>
                <w:sz w:val="24"/>
                <w:szCs w:val="24"/>
                <w:lang w:val="en-US" w:eastAsia="zh-CN"/>
              </w:rPr>
              <w:t>发出之日起</w:t>
            </w:r>
            <w:r>
              <w:rPr>
                <w:rFonts w:hint="eastAsia" w:ascii="仿宋" w:hAnsi="仿宋" w:eastAsia="仿宋" w:cs="仿宋"/>
                <w:bCs/>
                <w:color w:val="auto"/>
                <w:sz w:val="24"/>
                <w:szCs w:val="24"/>
                <w:highlight w:val="none"/>
                <w:lang w:val="en-US" w:eastAsia="zh-CN"/>
              </w:rPr>
              <w:t>三十</w:t>
            </w:r>
            <w:r>
              <w:rPr>
                <w:rFonts w:hint="eastAsia" w:ascii="仿宋" w:hAnsi="仿宋" w:eastAsia="仿宋" w:cs="仿宋"/>
                <w:bCs/>
                <w:color w:val="auto"/>
                <w:sz w:val="24"/>
                <w:szCs w:val="24"/>
                <w:highlight w:val="none"/>
                <w:lang w:eastAsia="zh-CN"/>
              </w:rPr>
              <w:t>日（</w:t>
            </w:r>
            <w:r>
              <w:rPr>
                <w:rFonts w:hint="eastAsia" w:ascii="仿宋" w:hAnsi="仿宋" w:eastAsia="仿宋" w:cs="仿宋"/>
                <w:bCs/>
                <w:color w:val="auto"/>
                <w:sz w:val="24"/>
                <w:szCs w:val="24"/>
                <w:highlight w:val="none"/>
                <w:lang w:val="en-US" w:eastAsia="zh-CN"/>
              </w:rPr>
              <w:t>按照政府采购最新政策规定，应当自</w:t>
            </w:r>
            <w:r>
              <w:rPr>
                <w:rFonts w:hint="eastAsia" w:ascii="仿宋" w:hAnsi="仿宋" w:eastAsia="仿宋" w:cs="仿宋"/>
                <w:bCs/>
                <w:color w:val="auto"/>
                <w:sz w:val="24"/>
                <w:szCs w:val="24"/>
                <w:lang w:val="en-US" w:eastAsia="zh-CN"/>
              </w:rPr>
              <w:t>成交</w:t>
            </w:r>
            <w:r>
              <w:rPr>
                <w:rFonts w:hint="eastAsia" w:ascii="仿宋" w:hAnsi="仿宋" w:eastAsia="仿宋" w:cs="仿宋"/>
                <w:bCs/>
                <w:color w:val="auto"/>
                <w:sz w:val="24"/>
                <w:szCs w:val="24"/>
                <w:highlight w:val="none"/>
                <w:lang w:val="en-US" w:eastAsia="zh-CN"/>
              </w:rPr>
              <w:t>通知书发出之日起二十五日</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rPr>
              <w:t>内</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采购人与成交人按照磋商文件确定的事项和响应文件订立书面合同（合同不能对已确定的实质性内容进行修改）。采购人和成交人不得再行订立背离合同实质性内容的其他协议</w:t>
            </w:r>
            <w:r>
              <w:rPr>
                <w:rFonts w:hint="eastAsia" w:ascii="仿宋" w:hAnsi="仿宋" w:eastAsia="仿宋" w:cs="仿宋"/>
                <w:bCs/>
                <w:color w:val="auto"/>
                <w:sz w:val="24"/>
                <w:szCs w:val="24"/>
                <w:lang w:eastAsia="zh-CN"/>
              </w:rPr>
              <w:t>。</w:t>
            </w:r>
          </w:p>
          <w:p w14:paraId="410752BD">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2、磋商文件要求成交人提交履约保证金或者其他形式履约或风险保证的，成交人应当提交；拒绝提交的，视为放弃成交资格。</w:t>
            </w:r>
          </w:p>
          <w:p w14:paraId="4EA27030">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3、甲乙双方无正当理由不按规定签订合同，或在签订合同时向对方提出附加条件，更改合同实质性内容的，依法承担相应法律责任；给对方造成损失的应当赔偿。</w:t>
            </w:r>
          </w:p>
          <w:p w14:paraId="2866F81A">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成交通知书是合同的重要组成部分。磋商文件、响应文件及评审过程中有关的澄清文件均作为合同附件。成交无效的，发出的成交通知书和签订的合同自始没有法律约束力，但不影响合同中独立存在的有关解决争议方法的条款的效力。</w:t>
            </w:r>
          </w:p>
          <w:p w14:paraId="5601475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5、成交人应按照合同约定履行义务。</w:t>
            </w:r>
          </w:p>
          <w:p w14:paraId="7C17C91F">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成交后签订合同前，采购人有权要求对磋商规定的或响应文件资料原件进行核查、关键性能指标进行测试，若成交人在规定时间内拒不配合或核查不实，造成可能导致无法按期签订合同或项目无法按期推进，视为不按有意见要求和磋商响应执行，不履行对采购要约的承诺，损害了采购方的权益，构成违约，采购人有权随时取消其成交资格。</w:t>
            </w:r>
          </w:p>
          <w:p w14:paraId="3F0C8EBF">
            <w:pPr>
              <w:keepNext w:val="0"/>
              <w:keepLines w:val="0"/>
              <w:pageBreakBefore w:val="0"/>
              <w:tabs>
                <w:tab w:val="left" w:pos="0"/>
              </w:tabs>
              <w:kinsoku/>
              <w:wordWrap/>
              <w:overflowPunct/>
              <w:topLinePunct w:val="0"/>
              <w:autoSpaceDE/>
              <w:autoSpaceDN/>
              <w:bidi w:val="0"/>
              <w:adjustRightInd/>
              <w:spacing w:line="500" w:lineRule="exact"/>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7、若本项目实施条件/要求发生变化或发生不可抗力，采购方有权单方解除合同，相关风险由成交方承担。</w:t>
            </w:r>
          </w:p>
        </w:tc>
      </w:tr>
      <w:tr w14:paraId="7EF4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877609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10.3</w:t>
            </w:r>
          </w:p>
        </w:tc>
        <w:tc>
          <w:tcPr>
            <w:tcW w:w="1907" w:type="dxa"/>
            <w:vAlign w:val="center"/>
          </w:tcPr>
          <w:p w14:paraId="31167329">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分包</w:t>
            </w:r>
          </w:p>
        </w:tc>
        <w:tc>
          <w:tcPr>
            <w:tcW w:w="6589" w:type="dxa"/>
            <w:vAlign w:val="center"/>
          </w:tcPr>
          <w:p w14:paraId="5D87A4F3">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本项目不允许分包。</w:t>
            </w:r>
          </w:p>
        </w:tc>
      </w:tr>
      <w:tr w14:paraId="1CFC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C2C0D4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w:t>
            </w:r>
            <w:r>
              <w:rPr>
                <w:rFonts w:hint="eastAsia" w:ascii="仿宋" w:hAnsi="仿宋" w:eastAsia="仿宋" w:cs="仿宋"/>
                <w:color w:val="auto"/>
                <w:kern w:val="2"/>
                <w:sz w:val="24"/>
                <w:szCs w:val="24"/>
                <w:lang w:val="en-US" w:eastAsia="zh-CN" w:bidi="ar-SA"/>
              </w:rPr>
              <w:t>.4</w:t>
            </w:r>
          </w:p>
        </w:tc>
        <w:tc>
          <w:tcPr>
            <w:tcW w:w="1907" w:type="dxa"/>
            <w:vAlign w:val="center"/>
          </w:tcPr>
          <w:p w14:paraId="5A7D6E7A">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转包</w:t>
            </w:r>
          </w:p>
        </w:tc>
        <w:tc>
          <w:tcPr>
            <w:tcW w:w="6589" w:type="dxa"/>
            <w:vAlign w:val="center"/>
          </w:tcPr>
          <w:p w14:paraId="7004B1CD">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本项目不允许转包。</w:t>
            </w:r>
          </w:p>
        </w:tc>
      </w:tr>
      <w:tr w14:paraId="4E39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76B98B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w:t>
            </w:r>
            <w:r>
              <w:rPr>
                <w:rFonts w:hint="eastAsia" w:ascii="仿宋" w:hAnsi="仿宋" w:eastAsia="仿宋" w:cs="仿宋"/>
                <w:color w:val="auto"/>
                <w:kern w:val="2"/>
                <w:sz w:val="24"/>
                <w:szCs w:val="24"/>
                <w:lang w:val="en-US" w:eastAsia="zh-CN" w:bidi="ar-SA"/>
              </w:rPr>
              <w:t>.5</w:t>
            </w:r>
          </w:p>
        </w:tc>
        <w:tc>
          <w:tcPr>
            <w:tcW w:w="1907" w:type="dxa"/>
            <w:vAlign w:val="center"/>
          </w:tcPr>
          <w:p w14:paraId="61E1691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589" w:type="dxa"/>
            <w:vAlign w:val="center"/>
          </w:tcPr>
          <w:p w14:paraId="743AD4B8">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先按本项目采购合同执行，若涉及采购合同未规定的条款，则按《中华人民共和国民法典》</w:t>
            </w:r>
            <w:r>
              <w:rPr>
                <w:rFonts w:hint="eastAsia" w:ascii="仿宋" w:hAnsi="仿宋" w:eastAsia="仿宋" w:cs="仿宋"/>
                <w:bCs/>
                <w:color w:val="auto"/>
                <w:sz w:val="24"/>
                <w:szCs w:val="24"/>
                <w:lang w:val="en-US" w:eastAsia="zh-CN"/>
              </w:rPr>
              <w:t>等相关规定执行。</w:t>
            </w:r>
          </w:p>
        </w:tc>
      </w:tr>
      <w:tr w14:paraId="3495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840A5D1">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1907" w:type="dxa"/>
            <w:tcBorders>
              <w:right w:val="nil"/>
            </w:tcBorders>
            <w:vAlign w:val="center"/>
          </w:tcPr>
          <w:p w14:paraId="2C7084C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磋商评审</w:t>
            </w:r>
          </w:p>
        </w:tc>
        <w:tc>
          <w:tcPr>
            <w:tcW w:w="6589" w:type="dxa"/>
            <w:tcBorders>
              <w:left w:val="nil"/>
            </w:tcBorders>
            <w:vAlign w:val="center"/>
          </w:tcPr>
          <w:p w14:paraId="104B4E72">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4A1B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E572D8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11.1</w:t>
            </w:r>
          </w:p>
        </w:tc>
        <w:tc>
          <w:tcPr>
            <w:tcW w:w="1907" w:type="dxa"/>
            <w:shd w:val="clear" w:color="auto" w:fill="auto"/>
            <w:vAlign w:val="center"/>
          </w:tcPr>
          <w:p w14:paraId="552899FE">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589" w:type="dxa"/>
            <w:shd w:val="clear" w:color="auto" w:fill="auto"/>
            <w:vAlign w:val="center"/>
          </w:tcPr>
          <w:p w14:paraId="1C2A0FC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3876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7BF8B4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11.2</w:t>
            </w:r>
          </w:p>
        </w:tc>
        <w:tc>
          <w:tcPr>
            <w:tcW w:w="1907" w:type="dxa"/>
            <w:shd w:val="clear" w:color="auto" w:fill="auto"/>
            <w:vAlign w:val="center"/>
          </w:tcPr>
          <w:p w14:paraId="4263917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589" w:type="dxa"/>
            <w:shd w:val="clear" w:color="auto" w:fill="auto"/>
            <w:vAlign w:val="center"/>
          </w:tcPr>
          <w:p w14:paraId="4805F43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磋商小组</w:t>
            </w:r>
          </w:p>
        </w:tc>
      </w:tr>
      <w:tr w14:paraId="577E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A1E193C">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11.3</w:t>
            </w:r>
          </w:p>
        </w:tc>
        <w:tc>
          <w:tcPr>
            <w:tcW w:w="1907" w:type="dxa"/>
            <w:shd w:val="clear" w:color="auto" w:fill="auto"/>
            <w:vAlign w:val="center"/>
          </w:tcPr>
          <w:p w14:paraId="23590250">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澄清、更正</w:t>
            </w:r>
          </w:p>
        </w:tc>
        <w:tc>
          <w:tcPr>
            <w:tcW w:w="6589" w:type="dxa"/>
            <w:shd w:val="clear" w:color="auto" w:fill="auto"/>
            <w:vAlign w:val="center"/>
          </w:tcPr>
          <w:p w14:paraId="61FEB03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磋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4CFB78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2.磋商小组要求供应商澄清、说明或者更正响应文件应当线上提出。供应商的澄清、说明或者更正应当进行签章。</w:t>
            </w:r>
          </w:p>
        </w:tc>
      </w:tr>
      <w:tr w14:paraId="1CF6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A0AB6F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11.4</w:t>
            </w:r>
          </w:p>
        </w:tc>
        <w:tc>
          <w:tcPr>
            <w:tcW w:w="1907" w:type="dxa"/>
            <w:shd w:val="clear" w:color="auto" w:fill="auto"/>
            <w:vAlign w:val="center"/>
          </w:tcPr>
          <w:p w14:paraId="75FCEBF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default"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问题修正</w:t>
            </w:r>
          </w:p>
        </w:tc>
        <w:tc>
          <w:tcPr>
            <w:tcW w:w="6589" w:type="dxa"/>
            <w:shd w:val="clear" w:color="auto" w:fill="auto"/>
            <w:vAlign w:val="center"/>
          </w:tcPr>
          <w:p w14:paraId="478B287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（1）响应文件中未构成实质性偏差的不正规、不一致或不规则，采购人可以接受，但这种接受不能损害或影响供应商的评审排序；</w:t>
            </w:r>
          </w:p>
          <w:p w14:paraId="7D33F93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（2）除磋商文件另有规定外，响应文件出现下列情况之一，可按以下原则修正：</w:t>
            </w:r>
          </w:p>
          <w:p w14:paraId="3260916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a.“报价表”与“标的清单”不一致时，以“报价表”为准；</w:t>
            </w:r>
          </w:p>
          <w:p w14:paraId="08578B3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b.本项目经过多轮报价后，最终以最后报价为准进行评审，“标的清单”以最后报价与首轮报价变动比例进行明细报价表（除社保外）的调整，调整后的明细报价表须满足相关要求，否则响应无效；</w:t>
            </w:r>
          </w:p>
          <w:p w14:paraId="7299DA2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c.响应文件图表与文字不符时，以文字为准；</w:t>
            </w:r>
          </w:p>
          <w:p w14:paraId="1E920F9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d.对不同文字文本响应文件的解释发生异议的，以中文文本为准；</w:t>
            </w:r>
          </w:p>
          <w:p w14:paraId="5BD6FC7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e.报价问题修正，均以对采购方有利的方式进行。</w:t>
            </w:r>
          </w:p>
          <w:p w14:paraId="3469F52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注：按上述方法修正后的内容，经供应商确认后产生约束力，否则可视为无效响应。</w:t>
            </w:r>
          </w:p>
        </w:tc>
      </w:tr>
      <w:tr w14:paraId="18FE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EE7B27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11.5</w:t>
            </w:r>
          </w:p>
        </w:tc>
        <w:tc>
          <w:tcPr>
            <w:tcW w:w="1907" w:type="dxa"/>
            <w:shd w:val="clear" w:color="auto" w:fill="auto"/>
            <w:vAlign w:val="center"/>
          </w:tcPr>
          <w:p w14:paraId="191BC8B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磋商时可能变化的内容</w:t>
            </w:r>
          </w:p>
        </w:tc>
        <w:tc>
          <w:tcPr>
            <w:tcW w:w="6589" w:type="dxa"/>
            <w:shd w:val="clear" w:color="auto" w:fill="auto"/>
            <w:vAlign w:val="center"/>
          </w:tcPr>
          <w:p w14:paraId="66CE19C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磋商文件“第三章 磋商项目技术、服务、商务及其他要求”中的技术、服务；“第八章 拟签订采购合同文本”的合同条款。</w:t>
            </w:r>
          </w:p>
        </w:tc>
      </w:tr>
      <w:tr w14:paraId="4ED6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6D879B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11.6</w:t>
            </w:r>
          </w:p>
        </w:tc>
        <w:tc>
          <w:tcPr>
            <w:tcW w:w="1907" w:type="dxa"/>
            <w:shd w:val="clear" w:color="auto" w:fill="auto"/>
            <w:vAlign w:val="center"/>
          </w:tcPr>
          <w:p w14:paraId="5946034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color w:val="auto"/>
                <w:sz w:val="24"/>
                <w:szCs w:val="24"/>
              </w:rPr>
              <w:t>无效</w:t>
            </w:r>
            <w:r>
              <w:rPr>
                <w:rFonts w:hint="eastAsia" w:ascii="仿宋" w:hAnsi="仿宋" w:eastAsia="仿宋" w:cs="仿宋"/>
                <w:color w:val="auto"/>
                <w:sz w:val="24"/>
                <w:szCs w:val="24"/>
                <w:lang w:val="en-US" w:eastAsia="zh-CN"/>
              </w:rPr>
              <w:t>响应</w:t>
            </w:r>
          </w:p>
        </w:tc>
        <w:tc>
          <w:tcPr>
            <w:tcW w:w="6589" w:type="dxa"/>
            <w:shd w:val="clear" w:color="auto" w:fill="auto"/>
            <w:vAlign w:val="center"/>
          </w:tcPr>
          <w:p w14:paraId="5C36CF60">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响应文件出现下列情形之一为无效响应：</w:t>
            </w:r>
          </w:p>
          <w:p w14:paraId="1E8810D8">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052EB657">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0F7522C6">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7C9A8949">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6916FFC0">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5.磋商响应</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01A92AF3">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6.磋商文件及法律法规规定的其他无效情形。</w:t>
            </w:r>
          </w:p>
        </w:tc>
      </w:tr>
      <w:tr w14:paraId="3ACD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3C95E0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w:t>
            </w:r>
          </w:p>
        </w:tc>
        <w:tc>
          <w:tcPr>
            <w:tcW w:w="1907" w:type="dxa"/>
            <w:tcBorders>
              <w:right w:val="nil"/>
            </w:tcBorders>
            <w:shd w:val="clear" w:color="auto" w:fill="auto"/>
            <w:vAlign w:val="center"/>
          </w:tcPr>
          <w:p w14:paraId="211C3B3E">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highlight w:val="none"/>
              </w:rPr>
              <w:t>成交人</w:t>
            </w:r>
          </w:p>
        </w:tc>
        <w:tc>
          <w:tcPr>
            <w:tcW w:w="6589" w:type="dxa"/>
            <w:tcBorders>
              <w:left w:val="nil"/>
            </w:tcBorders>
            <w:shd w:val="clear" w:color="auto" w:fill="auto"/>
            <w:vAlign w:val="center"/>
          </w:tcPr>
          <w:p w14:paraId="4E9B1FF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553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19C45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12.1</w:t>
            </w:r>
          </w:p>
        </w:tc>
        <w:tc>
          <w:tcPr>
            <w:tcW w:w="1907" w:type="dxa"/>
            <w:shd w:val="clear" w:color="auto" w:fill="auto"/>
            <w:vAlign w:val="center"/>
          </w:tcPr>
          <w:p w14:paraId="4038C68C">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w:t>
            </w:r>
            <w:r>
              <w:rPr>
                <w:rFonts w:hint="eastAsia" w:ascii="仿宋" w:hAnsi="仿宋" w:eastAsia="仿宋" w:cs="仿宋"/>
                <w:color w:val="auto"/>
                <w:sz w:val="24"/>
                <w:szCs w:val="24"/>
                <w:highlight w:val="none"/>
              </w:rPr>
              <w:t>成交人</w:t>
            </w:r>
          </w:p>
        </w:tc>
        <w:tc>
          <w:tcPr>
            <w:tcW w:w="6589" w:type="dxa"/>
            <w:shd w:val="clear" w:color="auto" w:fill="auto"/>
            <w:vAlign w:val="center"/>
          </w:tcPr>
          <w:p w14:paraId="5DDF62AC">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0576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FC2DF8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12.2</w:t>
            </w:r>
          </w:p>
        </w:tc>
        <w:tc>
          <w:tcPr>
            <w:tcW w:w="1907" w:type="dxa"/>
            <w:shd w:val="clear" w:color="auto" w:fill="auto"/>
            <w:vAlign w:val="center"/>
          </w:tcPr>
          <w:p w14:paraId="1CB6BACB">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人变更</w:t>
            </w:r>
          </w:p>
        </w:tc>
        <w:tc>
          <w:tcPr>
            <w:tcW w:w="6589" w:type="dxa"/>
            <w:shd w:val="clear" w:color="auto" w:fill="auto"/>
            <w:vAlign w:val="center"/>
          </w:tcPr>
          <w:p w14:paraId="2F4D6E72">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1.根据采购法实施条例第49条和财库便函【2019】154号文，</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人拒绝与采购人签订合同（或弃标），采购人可根据采购项目的实际情况，综合考虑递补供应商的经济性和效率等因素，自主确定是否重新开展采购活动或确定下一候选人为中标或者成交供应商。</w:t>
            </w:r>
          </w:p>
          <w:p w14:paraId="70E00AEF">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2.出现变更</w:t>
            </w:r>
            <w:r>
              <w:rPr>
                <w:rFonts w:hint="eastAsia" w:ascii="仿宋" w:hAnsi="仿宋" w:eastAsia="仿宋" w:cs="仿宋"/>
                <w:color w:val="auto"/>
                <w:sz w:val="24"/>
                <w:szCs w:val="24"/>
                <w:highlight w:val="none"/>
              </w:rPr>
              <w:t>成交</w:t>
            </w:r>
            <w:r>
              <w:rPr>
                <w:rFonts w:hint="default" w:ascii="仿宋" w:hAnsi="仿宋" w:eastAsia="仿宋" w:cs="仿宋"/>
                <w:color w:val="auto"/>
                <w:sz w:val="24"/>
                <w:szCs w:val="24"/>
                <w:highlight w:val="none"/>
                <w:lang w:val="en-US" w:eastAsia="zh-CN"/>
              </w:rPr>
              <w:t>人的其他情形时，按照政府采购法及相关法律法规进行。</w:t>
            </w:r>
          </w:p>
          <w:p w14:paraId="784ED690">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lang w:val="en-US" w:eastAsia="zh-CN"/>
              </w:rPr>
              <w:t>3.合同签订前，若</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人经营状况发生变化，</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人须及时向采购人说明情况，采购人认为</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人不具备履约能力，可取消其</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资格</w:t>
            </w:r>
            <w:r>
              <w:rPr>
                <w:rFonts w:hint="eastAsia" w:ascii="仿宋" w:hAnsi="仿宋" w:eastAsia="仿宋" w:cs="仿宋"/>
                <w:bCs/>
                <w:color w:val="auto"/>
                <w:sz w:val="24"/>
                <w:szCs w:val="24"/>
              </w:rPr>
              <w:t>。</w:t>
            </w:r>
          </w:p>
        </w:tc>
      </w:tr>
      <w:tr w14:paraId="181A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7646A4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w:t>
            </w:r>
          </w:p>
        </w:tc>
        <w:tc>
          <w:tcPr>
            <w:tcW w:w="1907" w:type="dxa"/>
            <w:tcBorders>
              <w:right w:val="nil"/>
            </w:tcBorders>
            <w:shd w:val="clear" w:color="auto" w:fill="auto"/>
            <w:vAlign w:val="center"/>
          </w:tcPr>
          <w:p w14:paraId="7088D20C">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履约验收</w:t>
            </w:r>
          </w:p>
        </w:tc>
        <w:tc>
          <w:tcPr>
            <w:tcW w:w="6589" w:type="dxa"/>
            <w:tcBorders>
              <w:left w:val="nil"/>
            </w:tcBorders>
            <w:vAlign w:val="center"/>
          </w:tcPr>
          <w:p w14:paraId="7801AE0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24E9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251F1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13.1</w:t>
            </w:r>
          </w:p>
        </w:tc>
        <w:tc>
          <w:tcPr>
            <w:tcW w:w="1907" w:type="dxa"/>
            <w:shd w:val="clear" w:color="auto" w:fill="auto"/>
            <w:vAlign w:val="center"/>
          </w:tcPr>
          <w:p w14:paraId="24B98309">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履约验收主体</w:t>
            </w:r>
          </w:p>
        </w:tc>
        <w:tc>
          <w:tcPr>
            <w:tcW w:w="6589" w:type="dxa"/>
            <w:shd w:val="clear" w:color="auto" w:fill="auto"/>
            <w:vAlign w:val="center"/>
          </w:tcPr>
          <w:p w14:paraId="425F2BF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采购人是履约验收的第一责任人，负有对履约验收工作的主体责任。</w:t>
            </w:r>
          </w:p>
        </w:tc>
      </w:tr>
      <w:tr w14:paraId="5876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9E738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13.2</w:t>
            </w:r>
          </w:p>
        </w:tc>
        <w:tc>
          <w:tcPr>
            <w:tcW w:w="1907" w:type="dxa"/>
            <w:shd w:val="clear" w:color="auto" w:fill="auto"/>
            <w:vAlign w:val="center"/>
          </w:tcPr>
          <w:p w14:paraId="17A7BB89">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履约单位义务与责任</w:t>
            </w:r>
          </w:p>
        </w:tc>
        <w:tc>
          <w:tcPr>
            <w:tcW w:w="6589" w:type="dxa"/>
            <w:shd w:val="clear" w:color="auto" w:fill="auto"/>
            <w:vAlign w:val="center"/>
          </w:tcPr>
          <w:p w14:paraId="14283BEC">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诚信履约：履约单位应严守契约精神，将诚信履约作为经营底线。签订采购合同后，应按照履约期限，向采购人提供符合磋商文件要求、响应文件内容、合同约定交付标准的服务内容，不得擅自降低标准、缩减范围或变更服务人员及内容。</w:t>
            </w:r>
          </w:p>
          <w:p w14:paraId="0CF415B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主动配合验收，承担违约责任：履约单位应积极配合采购人开展的履约验收工作，提供与项目验收相关的技术服务、质量、安全等资料。对不按合同履约、提供虚假材料、阻挠正常验收、拒不整改或整改不到位、履约过程违约的，采购人应依据采购合同及《民法典》等相关法律法规，依法追究其法律责任，必要时，可将违法线索报送监督部门予以查处。</w:t>
            </w:r>
          </w:p>
        </w:tc>
      </w:tr>
      <w:tr w14:paraId="00E9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9A5F0F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13.3</w:t>
            </w:r>
          </w:p>
        </w:tc>
        <w:tc>
          <w:tcPr>
            <w:tcW w:w="1907" w:type="dxa"/>
            <w:shd w:val="clear" w:color="auto" w:fill="auto"/>
            <w:vAlign w:val="center"/>
          </w:tcPr>
          <w:p w14:paraId="1069F5B5">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履约验收程序方法</w:t>
            </w:r>
          </w:p>
        </w:tc>
        <w:tc>
          <w:tcPr>
            <w:tcW w:w="6589" w:type="dxa"/>
            <w:shd w:val="clear" w:color="auto" w:fill="auto"/>
            <w:vAlign w:val="center"/>
          </w:tcPr>
          <w:p w14:paraId="7B1D863B">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根据服务实施分期考核情况和服务效果、用户满意度等进行履约验收。</w:t>
            </w:r>
          </w:p>
        </w:tc>
      </w:tr>
      <w:tr w14:paraId="30D6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4D81CE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13.4</w:t>
            </w:r>
          </w:p>
        </w:tc>
        <w:tc>
          <w:tcPr>
            <w:tcW w:w="1907" w:type="dxa"/>
            <w:shd w:val="clear" w:color="auto" w:fill="auto"/>
            <w:vAlign w:val="center"/>
          </w:tcPr>
          <w:p w14:paraId="7153028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履约验收内容</w:t>
            </w:r>
          </w:p>
        </w:tc>
        <w:tc>
          <w:tcPr>
            <w:tcW w:w="6589" w:type="dxa"/>
            <w:shd w:val="clear" w:color="auto" w:fill="auto"/>
            <w:vAlign w:val="center"/>
          </w:tcPr>
          <w:p w14:paraId="60E57DDA">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验收小组须严格落实法律法规、履约验收内控制度要求，按照磋商文件、响应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w:t>
            </w:r>
          </w:p>
        </w:tc>
      </w:tr>
      <w:tr w14:paraId="18B4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FEA52C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13.5</w:t>
            </w:r>
          </w:p>
        </w:tc>
        <w:tc>
          <w:tcPr>
            <w:tcW w:w="1907" w:type="dxa"/>
            <w:shd w:val="clear" w:color="auto" w:fill="auto"/>
            <w:vAlign w:val="center"/>
          </w:tcPr>
          <w:p w14:paraId="5ADDC485">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highlight w:val="none"/>
                <w:lang w:val="en-US" w:eastAsia="zh-CN"/>
              </w:rPr>
              <w:t>履约验收依据</w:t>
            </w:r>
          </w:p>
        </w:tc>
        <w:tc>
          <w:tcPr>
            <w:tcW w:w="6589" w:type="dxa"/>
            <w:shd w:val="clear" w:color="auto" w:fill="auto"/>
            <w:vAlign w:val="center"/>
          </w:tcPr>
          <w:p w14:paraId="155BB26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kern w:val="2"/>
                <w:sz w:val="24"/>
                <w:szCs w:val="24"/>
                <w:highlight w:val="yellow"/>
                <w:lang w:val="en-US" w:eastAsia="zh-CN" w:bidi="ar-SA"/>
              </w:rPr>
            </w:pPr>
            <w:r>
              <w:rPr>
                <w:rFonts w:hint="eastAsia" w:ascii="仿宋" w:hAnsi="仿宋" w:eastAsia="仿宋" w:cs="仿宋"/>
                <w:color w:val="auto"/>
                <w:sz w:val="24"/>
                <w:szCs w:val="24"/>
                <w:lang w:val="en-US" w:eastAsia="zh-CN"/>
              </w:rPr>
              <w:t>履约验收主体应当按照采购合同规定的标的、技术、标准、服务内容、质量和安全等要求，组织对供应商履约情况进行验收，并出具验收报告。验收报告包括：技术、服务、安全标准等的履约情况</w:t>
            </w:r>
            <w:r>
              <w:rPr>
                <w:rFonts w:hint="eastAsia" w:ascii="仿宋" w:hAnsi="仿宋" w:eastAsia="仿宋" w:cs="仿宋"/>
                <w:color w:val="auto"/>
                <w:sz w:val="24"/>
                <w:szCs w:val="24"/>
                <w:highlight w:val="none"/>
                <w:lang w:val="en-US" w:eastAsia="zh-CN"/>
              </w:rPr>
              <w:t>。</w:t>
            </w:r>
          </w:p>
        </w:tc>
      </w:tr>
      <w:tr w14:paraId="1ED5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5F2EEE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13.6</w:t>
            </w:r>
          </w:p>
        </w:tc>
        <w:tc>
          <w:tcPr>
            <w:tcW w:w="1907" w:type="dxa"/>
            <w:shd w:val="clear" w:color="auto" w:fill="auto"/>
            <w:vAlign w:val="center"/>
          </w:tcPr>
          <w:p w14:paraId="2176863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履约验收标准</w:t>
            </w:r>
          </w:p>
        </w:tc>
        <w:tc>
          <w:tcPr>
            <w:tcW w:w="6589" w:type="dxa"/>
            <w:shd w:val="clear" w:color="auto" w:fill="auto"/>
            <w:vAlign w:val="center"/>
          </w:tcPr>
          <w:p w14:paraId="184CA3EF">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达到国家、行业相关标准规范及强制性要求，通过验收，满足采购要求。</w:t>
            </w:r>
          </w:p>
        </w:tc>
      </w:tr>
      <w:tr w14:paraId="47AE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4EE8E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13.7</w:t>
            </w:r>
          </w:p>
        </w:tc>
        <w:tc>
          <w:tcPr>
            <w:tcW w:w="1907" w:type="dxa"/>
            <w:shd w:val="clear" w:color="auto" w:fill="auto"/>
            <w:vAlign w:val="center"/>
          </w:tcPr>
          <w:p w14:paraId="00EA7116">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履约验收问题</w:t>
            </w:r>
          </w:p>
          <w:p w14:paraId="56F28BE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处理</w:t>
            </w:r>
          </w:p>
        </w:tc>
        <w:tc>
          <w:tcPr>
            <w:tcW w:w="6589" w:type="dxa"/>
            <w:shd w:val="clear" w:color="auto" w:fill="auto"/>
            <w:vAlign w:val="center"/>
          </w:tcPr>
          <w:p w14:paraId="4068D814">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验收合格的项目,采购人应当根据采购合同的约定及时向成交人支付资金、退还履约保证金。验收不合格的项目,采购人应当依法及时处理。</w:t>
            </w:r>
          </w:p>
        </w:tc>
      </w:tr>
      <w:tr w14:paraId="7723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C94F23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13.8</w:t>
            </w:r>
          </w:p>
        </w:tc>
        <w:tc>
          <w:tcPr>
            <w:tcW w:w="1907" w:type="dxa"/>
            <w:shd w:val="clear" w:color="auto" w:fill="auto"/>
            <w:vAlign w:val="center"/>
          </w:tcPr>
          <w:p w14:paraId="063372D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2"/>
                <w:highlight w:val="none"/>
                <w:lang w:val="en-US" w:eastAsia="zh-CN" w:bidi="ar-SA"/>
              </w:rPr>
            </w:pPr>
            <w:r>
              <w:rPr>
                <w:rFonts w:hint="eastAsia" w:ascii="仿宋" w:hAnsi="仿宋" w:eastAsia="仿宋" w:cs="仿宋"/>
                <w:color w:val="auto"/>
                <w:kern w:val="0"/>
                <w:highlight w:val="none"/>
                <w:lang w:val="en-US" w:eastAsia="zh-CN"/>
              </w:rPr>
              <w:t>履约争议、违约</w:t>
            </w:r>
          </w:p>
        </w:tc>
        <w:tc>
          <w:tcPr>
            <w:tcW w:w="6589" w:type="dxa"/>
            <w:shd w:val="clear" w:color="auto" w:fill="auto"/>
            <w:vAlign w:val="center"/>
          </w:tcPr>
          <w:p w14:paraId="11C54C2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采购合同履行、违约责任和解决争议的方式等适用采购合同及民法典。履约单位在履约过程中有相关法律法规规定的违法违规情形的,采购人应当及时报告监督部门。</w:t>
            </w:r>
          </w:p>
        </w:tc>
      </w:tr>
      <w:tr w14:paraId="70EC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1347C1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w:t>
            </w:r>
          </w:p>
        </w:tc>
        <w:tc>
          <w:tcPr>
            <w:tcW w:w="1907" w:type="dxa"/>
            <w:tcBorders>
              <w:right w:val="nil"/>
            </w:tcBorders>
            <w:shd w:val="clear" w:color="auto" w:fill="auto"/>
            <w:vAlign w:val="center"/>
          </w:tcPr>
          <w:p w14:paraId="100A9340">
            <w:pPr>
              <w:keepNext w:val="0"/>
              <w:keepLines w:val="0"/>
              <w:pageBreakBefore w:val="0"/>
              <w:kinsoku/>
              <w:wordWrap/>
              <w:overflowPunct/>
              <w:topLinePunct w:val="0"/>
              <w:bidi w:val="0"/>
              <w:spacing w:line="4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串标释义</w:t>
            </w:r>
          </w:p>
          <w:p w14:paraId="765B97C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sz w:val="24"/>
                <w:szCs w:val="24"/>
                <w:lang w:val="en-US" w:eastAsia="zh-CN"/>
              </w:rPr>
              <w:t>（部分）</w:t>
            </w:r>
          </w:p>
        </w:tc>
        <w:tc>
          <w:tcPr>
            <w:tcW w:w="6589" w:type="dxa"/>
            <w:tcBorders>
              <w:left w:val="nil"/>
            </w:tcBorders>
            <w:shd w:val="clear" w:color="auto" w:fill="auto"/>
            <w:vAlign w:val="center"/>
          </w:tcPr>
          <w:p w14:paraId="31EE4CC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p>
        </w:tc>
      </w:tr>
      <w:tr w14:paraId="26BA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38743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14.1</w:t>
            </w:r>
          </w:p>
        </w:tc>
        <w:tc>
          <w:tcPr>
            <w:tcW w:w="1907" w:type="dxa"/>
            <w:shd w:val="clear" w:color="auto" w:fill="auto"/>
            <w:vAlign w:val="center"/>
          </w:tcPr>
          <w:p w14:paraId="061D6CF1">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sz w:val="24"/>
                <w:szCs w:val="24"/>
                <w:lang w:val="en-US" w:eastAsia="zh-CN"/>
              </w:rPr>
              <w:t>（雷同）</w:t>
            </w:r>
          </w:p>
        </w:tc>
        <w:tc>
          <w:tcPr>
            <w:tcW w:w="6589" w:type="dxa"/>
            <w:shd w:val="clear" w:color="auto" w:fill="auto"/>
            <w:vAlign w:val="center"/>
          </w:tcPr>
          <w:p w14:paraId="4BD7512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响应文件中同时出现（如响应文件错误的内容或打印错误的内容雷同；由供应商自行编制的格式或自行编写的方案异常一致；属于某一供应商特有的业绩、编号、标识等在其他响应文件中同时出现等情形）。</w:t>
            </w:r>
          </w:p>
        </w:tc>
      </w:tr>
      <w:tr w14:paraId="6DF9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6F642F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1457A03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“文件相</w:t>
            </w:r>
          </w:p>
          <w:p w14:paraId="03589314">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互混装”</w:t>
            </w:r>
          </w:p>
        </w:tc>
        <w:tc>
          <w:tcPr>
            <w:tcW w:w="6589" w:type="dxa"/>
            <w:shd w:val="clear" w:color="auto" w:fill="auto"/>
            <w:vAlign w:val="center"/>
          </w:tcPr>
          <w:p w14:paraId="04248E8B">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指一家响应文件中装有本项目其他供应商（指提交了响应文件的单位）的响应资料即为混装（并非仅指双方互有混装的情形）。</w:t>
            </w:r>
          </w:p>
        </w:tc>
      </w:tr>
      <w:tr w14:paraId="5C73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84B42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14.3</w:t>
            </w:r>
          </w:p>
        </w:tc>
        <w:tc>
          <w:tcPr>
            <w:tcW w:w="1907" w:type="dxa"/>
            <w:shd w:val="clear" w:color="auto" w:fill="auto"/>
            <w:vAlign w:val="center"/>
          </w:tcPr>
          <w:p w14:paraId="419876D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589" w:type="dxa"/>
            <w:shd w:val="clear" w:color="auto" w:fill="auto"/>
            <w:vAlign w:val="center"/>
          </w:tcPr>
          <w:p w14:paraId="4E55B306">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指磋商报价呈现等差或等比数列趋势变化、分项/明细报价完全一致或某些分项价格呈现规律性提高或降低等情形。</w:t>
            </w:r>
          </w:p>
        </w:tc>
      </w:tr>
      <w:tr w14:paraId="250C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3BE726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14.4</w:t>
            </w:r>
          </w:p>
        </w:tc>
        <w:tc>
          <w:tcPr>
            <w:tcW w:w="1907" w:type="dxa"/>
            <w:shd w:val="clear" w:color="auto" w:fill="auto"/>
            <w:vAlign w:val="center"/>
          </w:tcPr>
          <w:p w14:paraId="51B6E93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589" w:type="dxa"/>
            <w:shd w:val="clear" w:color="auto" w:fill="auto"/>
            <w:vAlign w:val="center"/>
          </w:tcPr>
          <w:p w14:paraId="2B41D15B">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线上招标由系统进行串标警示。</w:t>
            </w:r>
          </w:p>
        </w:tc>
      </w:tr>
      <w:tr w14:paraId="2841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C23150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w:t>
            </w:r>
          </w:p>
        </w:tc>
        <w:tc>
          <w:tcPr>
            <w:tcW w:w="1907" w:type="dxa"/>
            <w:tcBorders>
              <w:right w:val="nil"/>
            </w:tcBorders>
            <w:vAlign w:val="center"/>
          </w:tcPr>
          <w:p w14:paraId="43F85C94">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589" w:type="dxa"/>
            <w:tcBorders>
              <w:left w:val="nil"/>
            </w:tcBorders>
            <w:vAlign w:val="center"/>
          </w:tcPr>
          <w:p w14:paraId="5179E9D8">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0298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570F12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highlight w:val="none"/>
                <w:lang w:val="en-US" w:eastAsia="zh-CN"/>
              </w:rPr>
              <w:t>.1</w:t>
            </w:r>
          </w:p>
        </w:tc>
        <w:tc>
          <w:tcPr>
            <w:tcW w:w="1907" w:type="dxa"/>
            <w:vAlign w:val="center"/>
          </w:tcPr>
          <w:p w14:paraId="39E973CC">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磋商文件解释权</w:t>
            </w:r>
          </w:p>
        </w:tc>
        <w:tc>
          <w:tcPr>
            <w:tcW w:w="6589" w:type="dxa"/>
            <w:vAlign w:val="center"/>
          </w:tcPr>
          <w:p w14:paraId="2221918C">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文件的解释权归采购人及代理机构所有：1）对于当事各方对磋商文件发生理解偏差或歧义时，供应商又未在合法时间内提出咨询/质疑，均以代理机构的释义为基本依据。2）供应商对磋商文件的自主理解、推测、主观认为、随意臆造等造成的不利后果自负。</w:t>
            </w:r>
          </w:p>
        </w:tc>
      </w:tr>
      <w:tr w14:paraId="5C80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DDF391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15.2</w:t>
            </w:r>
          </w:p>
        </w:tc>
        <w:tc>
          <w:tcPr>
            <w:tcW w:w="1907" w:type="dxa"/>
            <w:shd w:val="clear" w:color="auto" w:fill="auto"/>
            <w:vAlign w:val="center"/>
          </w:tcPr>
          <w:p w14:paraId="5EF6A5A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权利和知识产权</w:t>
            </w:r>
          </w:p>
        </w:tc>
        <w:tc>
          <w:tcPr>
            <w:tcW w:w="6589" w:type="dxa"/>
            <w:shd w:val="clear" w:color="auto" w:fill="auto"/>
            <w:vAlign w:val="center"/>
          </w:tcPr>
          <w:p w14:paraId="7E8C349D">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应保证在本项目使用的任何产品和服务的任何一部分，不会产生因第三方提出的侵犯其专利权、商标权、著作权或其他知识产权而引起的法律和经济纠纷，由此引起的纠纷，由供应商承担所有相关责任；②本项目采购和履行中形成的知识成果、知识产权和其他权益均归采购人所有。</w:t>
            </w:r>
          </w:p>
        </w:tc>
      </w:tr>
      <w:tr w14:paraId="432F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4E9DC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w:t>
            </w: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3DF645EE">
            <w:pPr>
              <w:keepNext w:val="0"/>
              <w:keepLines w:val="0"/>
              <w:pageBreakBefore w:val="0"/>
              <w:widowControl w:val="0"/>
              <w:kinsoku/>
              <w:wordWrap/>
              <w:overflowPunct/>
              <w:topLinePunct w:val="0"/>
              <w:autoSpaceDE/>
              <w:autoSpaceDN/>
              <w:bidi w:val="0"/>
              <w:adjustRightInd/>
              <w:snapToGrid/>
              <w:spacing w:beforeAutospacing="0" w:afterAutospacing="0" w:line="4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无效资料</w:t>
            </w:r>
          </w:p>
        </w:tc>
        <w:tc>
          <w:tcPr>
            <w:tcW w:w="6589" w:type="dxa"/>
            <w:shd w:val="clear" w:color="auto" w:fill="auto"/>
            <w:vAlign w:val="center"/>
          </w:tcPr>
          <w:p w14:paraId="1E5F6E82">
            <w:pPr>
              <w:keepNext w:val="0"/>
              <w:keepLines w:val="0"/>
              <w:pageBreakBefore w:val="0"/>
              <w:widowControl/>
              <w:kinsoku/>
              <w:wordWrap/>
              <w:overflowPunct/>
              <w:topLinePunct w:val="0"/>
              <w:autoSpaceDE/>
              <w:autoSpaceDN/>
              <w:bidi w:val="0"/>
              <w:adjustRightInd/>
              <w:spacing w:beforeAutospacing="0" w:afterAutospacing="0" w:line="460" w:lineRule="exact"/>
              <w:jc w:val="both"/>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指真实存在（非虚假），但不符合本磋商文件相关要求的过期或内容不相符的文件资料。</w:t>
            </w:r>
          </w:p>
        </w:tc>
      </w:tr>
      <w:tr w14:paraId="4216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11F328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15.4</w:t>
            </w:r>
          </w:p>
        </w:tc>
        <w:tc>
          <w:tcPr>
            <w:tcW w:w="1907" w:type="dxa"/>
            <w:shd w:val="clear" w:color="auto" w:fill="auto"/>
            <w:vAlign w:val="center"/>
          </w:tcPr>
          <w:p w14:paraId="4C293A0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虚假材料</w:t>
            </w:r>
          </w:p>
        </w:tc>
        <w:tc>
          <w:tcPr>
            <w:tcW w:w="6589" w:type="dxa"/>
            <w:shd w:val="clear" w:color="auto" w:fill="auto"/>
            <w:vAlign w:val="center"/>
          </w:tcPr>
          <w:p w14:paraId="6A64FBD0">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58E9833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提供的已逾期的证书、未年审的证书等不能认定为虚假材料。"虚假"是指材料的真实性而非有效性，无效材料不能等同于虚假材料。</w:t>
            </w:r>
          </w:p>
          <w:p w14:paraId="68DE1F6B">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3.对提供虚假材料谋取中标（成交）的认定，应要同时满足主观和客观两个方面的构成要件，要结合有关的证据材料和供应商篡改、伪造或变造、捏造事实以及该行为的目的性、危害后果等方面，由</w:t>
            </w:r>
            <w:r>
              <w:rPr>
                <w:rFonts w:hint="eastAsia" w:ascii="仿宋" w:hAnsi="仿宋" w:eastAsia="仿宋" w:cs="仿宋"/>
                <w:color w:val="auto"/>
                <w:sz w:val="24"/>
                <w:szCs w:val="24"/>
                <w:lang w:val="en-US" w:eastAsia="zh-CN"/>
              </w:rPr>
              <w:t>监管部门</w:t>
            </w:r>
            <w:r>
              <w:rPr>
                <w:rFonts w:hint="eastAsia" w:ascii="仿宋" w:hAnsi="仿宋" w:eastAsia="仿宋" w:cs="仿宋"/>
                <w:color w:val="auto"/>
                <w:sz w:val="24"/>
                <w:szCs w:val="24"/>
                <w:highlight w:val="none"/>
                <w:lang w:val="en-US" w:eastAsia="zh-CN"/>
              </w:rPr>
              <w:t>进行综合考量和判断。</w:t>
            </w:r>
          </w:p>
        </w:tc>
      </w:tr>
      <w:tr w14:paraId="0759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70AB20C">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15.5</w:t>
            </w:r>
          </w:p>
        </w:tc>
        <w:tc>
          <w:tcPr>
            <w:tcW w:w="1907" w:type="dxa"/>
            <w:shd w:val="clear" w:color="auto" w:fill="auto"/>
            <w:vAlign w:val="center"/>
          </w:tcPr>
          <w:p w14:paraId="0D1A2B3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印章使用</w:t>
            </w:r>
          </w:p>
        </w:tc>
        <w:tc>
          <w:tcPr>
            <w:tcW w:w="6589" w:type="dxa"/>
            <w:shd w:val="clear" w:color="auto" w:fill="auto"/>
            <w:vAlign w:val="center"/>
          </w:tcPr>
          <w:p w14:paraId="10226FB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投标使用的单位印章均指电子签章。</w:t>
            </w:r>
          </w:p>
        </w:tc>
      </w:tr>
      <w:tr w14:paraId="53D3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13B8073">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15.6</w:t>
            </w:r>
          </w:p>
        </w:tc>
        <w:tc>
          <w:tcPr>
            <w:tcW w:w="1907" w:type="dxa"/>
            <w:shd w:val="clear" w:color="auto" w:fill="auto"/>
            <w:vAlign w:val="center"/>
          </w:tcPr>
          <w:p w14:paraId="16E42F6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589" w:type="dxa"/>
            <w:shd w:val="clear" w:color="auto" w:fill="auto"/>
            <w:vAlign w:val="center"/>
          </w:tcPr>
          <w:p w14:paraId="049FB2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7677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7725C8">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15.7</w:t>
            </w:r>
          </w:p>
        </w:tc>
        <w:tc>
          <w:tcPr>
            <w:tcW w:w="1907" w:type="dxa"/>
            <w:shd w:val="clear" w:color="auto" w:fill="auto"/>
            <w:vAlign w:val="center"/>
          </w:tcPr>
          <w:p w14:paraId="08BD389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p>
        </w:tc>
        <w:tc>
          <w:tcPr>
            <w:tcW w:w="6589" w:type="dxa"/>
            <w:shd w:val="clear" w:color="auto" w:fill="auto"/>
            <w:vAlign w:val="center"/>
          </w:tcPr>
          <w:p w14:paraId="7D7D16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招投标资料等当事人不愿公开的商业秘密。响应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根据磋商文件的要求编制的，具有独特、个性的特征，并具有实用性，能为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5543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D106DCE">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15.8</w:t>
            </w:r>
          </w:p>
        </w:tc>
        <w:tc>
          <w:tcPr>
            <w:tcW w:w="1907" w:type="dxa"/>
            <w:shd w:val="clear" w:color="auto" w:fill="auto"/>
            <w:vAlign w:val="center"/>
          </w:tcPr>
          <w:p w14:paraId="75BBAF7C">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589" w:type="dxa"/>
            <w:shd w:val="clear" w:color="auto" w:fill="auto"/>
            <w:vAlign w:val="center"/>
          </w:tcPr>
          <w:p w14:paraId="0473537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招标</w:t>
            </w:r>
            <w:r>
              <w:rPr>
                <w:rFonts w:hint="eastAsia" w:ascii="仿宋" w:hAnsi="仿宋" w:eastAsia="仿宋" w:cs="仿宋"/>
                <w:color w:val="auto"/>
                <w:sz w:val="24"/>
                <w:szCs w:val="24"/>
                <w:highlight w:val="none"/>
                <w:lang w:val="en-US" w:eastAsia="zh-CN"/>
              </w:rPr>
              <w:t>资料，均应对磋商、响应文件中的商业和技术等内容进行保密，违者承担法律责任。</w:t>
            </w:r>
          </w:p>
        </w:tc>
      </w:tr>
      <w:tr w14:paraId="778B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7E0970D">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15.9</w:t>
            </w:r>
          </w:p>
        </w:tc>
        <w:tc>
          <w:tcPr>
            <w:tcW w:w="1907" w:type="dxa"/>
            <w:vAlign w:val="center"/>
          </w:tcPr>
          <w:p w14:paraId="55F9DB8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其他</w:t>
            </w:r>
          </w:p>
        </w:tc>
        <w:tc>
          <w:tcPr>
            <w:tcW w:w="6589" w:type="dxa"/>
            <w:vAlign w:val="center"/>
          </w:tcPr>
          <w:p w14:paraId="558D076A">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1.本文所称的“以上”、“以下”、“内”、“以内”、“届满”，包括本数；“不足”、“不满”、“超过”、“以外”，不包括本数。</w:t>
            </w:r>
          </w:p>
          <w:p w14:paraId="256EB1F5">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0DA0E824">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3.文中“日”等同“日历日”或“天”。月日换算可以30天/月为基准。</w:t>
            </w:r>
          </w:p>
        </w:tc>
      </w:tr>
    </w:tbl>
    <w:p w14:paraId="0ECE55D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83D7F"/>
    <w:rsid w:val="58783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rPr>
      <w:szCs w:val="21"/>
    </w:r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toa heading"/>
    <w:basedOn w:val="1"/>
    <w:next w:val="1"/>
    <w:semiHidden/>
    <w:qFormat/>
    <w:uiPriority w:val="99"/>
    <w:pPr>
      <w:spacing w:before="120"/>
    </w:pPr>
    <w:rPr>
      <w:rFonts w:ascii="Cambria" w:hAnsi="Cambria"/>
      <w:sz w:val="24"/>
    </w:rPr>
  </w:style>
  <w:style w:type="paragraph" w:styleId="5">
    <w:name w:val="annotation text"/>
    <w:basedOn w:val="1"/>
    <w:qFormat/>
    <w:uiPriority w:val="0"/>
    <w:pPr>
      <w:jc w:val="left"/>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2026-04-08T07:21:00Z</dcterms:created>
  <dc:creator>左左</dc:creator>
  <cp:lastModifiedBy>左左</cp:lastModifiedBy>
  <dcterms:modified xsi:type="dcterms:W3CDTF">2026-04-08T07:21:20Z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9E96B7D8A7604492ADA4A43211896D41_11</vt:lpwstr>
  </property>
  <property fmtid="{D5CDD505-2E9C-101B-9397-08002B2CF9AE}" pid="4" name="KSOTemplateDocerSaveRecord">
    <vt:lpwstr>eyJoZGlkIjoiYjgzZjBlMWFiY2UyYjQ1NWYwYWI5MjNkODI5ZDljOGYiLCJ1c2VySWQiOiI1NzY5ODc4MzkifQ==</vt:lpwstr>
  </property>
</Properties>
</file>