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版本号：SXHR-2026-00620260402001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仁宗街道仁宗村道路及饮水设施提升项目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SXHR-2026-006</w:t>
      </w:r>
      <w:r>
        <w:br/>
      </w:r>
      <w:r>
        <w:br/>
      </w:r>
      <w:r>
        <w:br/>
      </w:r>
    </w:p>
    <w:p>
      <w:pPr>
        <w:pStyle w:val="null3"/>
        <w:jc w:val="center"/>
        <w:outlineLvl w:val="2"/>
      </w:pPr>
      <w:r>
        <w:rPr>
          <w:rFonts w:ascii="仿宋_GB2312" w:hAnsi="仿宋_GB2312" w:cs="仿宋_GB2312" w:eastAsia="仿宋_GB2312"/>
          <w:sz w:val="28"/>
          <w:b/>
        </w:rPr>
        <w:t>西安市临潼区仁宗街道办事处</w:t>
      </w:r>
    </w:p>
    <w:p>
      <w:pPr>
        <w:pStyle w:val="null3"/>
        <w:jc w:val="center"/>
        <w:outlineLvl w:val="2"/>
      </w:pPr>
      <w:r>
        <w:rPr>
          <w:rFonts w:ascii="仿宋_GB2312" w:hAnsi="仿宋_GB2312" w:cs="仿宋_GB2312" w:eastAsia="仿宋_GB2312"/>
          <w:sz w:val="28"/>
          <w:b/>
        </w:rPr>
        <w:t>陕西寰瑞项目管理有限公司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陕西寰瑞项目管理有限公司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西安市临潼区仁宗街道办事处</w:t>
      </w:r>
      <w:r>
        <w:rPr>
          <w:rFonts w:ascii="仿宋_GB2312" w:hAnsi="仿宋_GB2312" w:cs="仿宋_GB2312" w:eastAsia="仿宋_GB2312"/>
        </w:rPr>
        <w:t>委托，拟对</w:t>
      </w:r>
      <w:r>
        <w:rPr>
          <w:rFonts w:ascii="仿宋_GB2312" w:hAnsi="仿宋_GB2312" w:cs="仿宋_GB2312" w:eastAsia="仿宋_GB2312"/>
        </w:rPr>
        <w:t>仁宗街道仁宗村道路及饮水设施提升项目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SXHR-2026-006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仁宗街道仁宗村道路及饮水设施提升项目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仁宗街道仁宗村道路及饮水设施提升项目，包括修复姜湾组水毁道路长300米，宽3.5米，1050平方米，翻修许家组道路长1500米，宽4米6000平方米，修复和平组水毁道路长632米，宽3.5米，2210平方米，新修焦湾组人畜饮水32毫米管道500米，两座20立方米蓄水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采购包1（仁宗街道仁宗村道路及饮水设施提升项目）：属于专门面向中小企业采购。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2、供应商资质要求：供应商须具备建设行政主管部门颁发的市政公用工程施工总承包三级（含三级）以上资质，且具备有效的安全生产许可证；</w:t>
      </w:r>
    </w:p>
    <w:p>
      <w:pPr>
        <w:pStyle w:val="null3"/>
      </w:pPr>
      <w:r>
        <w:rPr>
          <w:rFonts w:ascii="仿宋_GB2312" w:hAnsi="仿宋_GB2312" w:cs="仿宋_GB2312" w:eastAsia="仿宋_GB2312"/>
        </w:rPr>
        <w:t>3、拟派项目经理资质要求：拟派项目经理具备市政公用工程二级及以上注册建造师证书和安全生产考核合格证（B证），在本单位注册且无在建工程（提供无在建工程承诺书）；</w:t>
      </w:r>
    </w:p>
    <w:p>
      <w:pPr>
        <w:pStyle w:val="null3"/>
      </w:pPr>
      <w:r>
        <w:rPr>
          <w:rFonts w:ascii="仿宋_GB2312" w:hAnsi="仿宋_GB2312" w:cs="仿宋_GB2312" w:eastAsia="仿宋_GB2312"/>
        </w:rPr>
        <w:t>4、供应商及拟派项目经理基本信息备案：供应商及拟派项目经理基本信息应在“陕西省住房和城乡建设厅网站（http://js.shaanxi.gov.cn/）陕西省建筑市场监管与诚信信息发布平台”可查询；</w:t>
      </w:r>
    </w:p>
    <w:p>
      <w:pPr>
        <w:pStyle w:val="null3"/>
      </w:pPr>
      <w:r>
        <w:rPr>
          <w:rFonts w:ascii="仿宋_GB2312" w:hAnsi="仿宋_GB2312" w:cs="仿宋_GB2312" w:eastAsia="仿宋_GB2312"/>
        </w:rPr>
        <w:t>5、供应商信用记录：供应商不得为“信用中国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西安市临潼区仁宗街道办事处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临潼区仁宗街道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石明亮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83949027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陕西寰瑞项目管理有限公司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陕西省西安市临潼区东关街21号建筑小区综合楼北单元5层南户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门哲西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18291933206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采购包1：1,999,394.96元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费金额以中标金额为基数参照国家计委颁发的《招标代理服务收费管理暂行办法》（计价格〔2002〕1980号）、国家发展改革委办公厅颁发的《关于招标代理服务收费有关问题的通知》（发改办价格〔2003〕857号）、《国家发展改革委关于降低部分建设项目收费标准规范收费行为等有关问题的通知》（发改价格〔2011〕534号）的有关规定执行； （2）招标代理服务费账户 户名：陕西寰瑞项目管理有限公司 开户行：中国工商银行股份有限公司西安临潼区支行 账号：3700029209200454460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西安市临潼区仁宗街道办事处</w:t>
      </w:r>
      <w:r>
        <w:rPr>
          <w:rFonts w:ascii="仿宋_GB2312" w:hAnsi="仿宋_GB2312" w:cs="仿宋_GB2312" w:eastAsia="仿宋_GB2312"/>
        </w:rPr>
        <w:t>和</w:t>
      </w:r>
      <w:r>
        <w:rPr>
          <w:rFonts w:ascii="仿宋_GB2312" w:hAnsi="仿宋_GB2312" w:cs="仿宋_GB2312" w:eastAsia="仿宋_GB2312"/>
        </w:rPr>
        <w:t>陕西寰瑞项目管理有限公司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西安市临潼区仁宗街道办事处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陕西寰瑞项目管理有限公司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西安市临潼区仁宗街道办事处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陕西寰瑞项目管理有限公司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联系人：门哲西</w:t>
      </w:r>
    </w:p>
    <w:p>
      <w:pPr>
        <w:pStyle w:val="null3"/>
      </w:pPr>
      <w:r>
        <w:rPr>
          <w:rFonts w:ascii="仿宋_GB2312" w:hAnsi="仿宋_GB2312" w:cs="仿宋_GB2312" w:eastAsia="仿宋_GB2312"/>
        </w:rPr>
        <w:t>联系电话：18291933206</w:t>
      </w:r>
    </w:p>
    <w:p>
      <w:pPr>
        <w:pStyle w:val="null3"/>
      </w:pPr>
      <w:r>
        <w:rPr>
          <w:rFonts w:ascii="仿宋_GB2312" w:hAnsi="仿宋_GB2312" w:cs="仿宋_GB2312" w:eastAsia="仿宋_GB2312"/>
        </w:rPr>
        <w:t>地址：陕西省西安市临潼区东关街21号建筑小区综合楼北单元5层南户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1,999,394.96</w:t>
      </w:r>
    </w:p>
    <w:p>
      <w:pPr>
        <w:pStyle w:val="null3"/>
      </w:pPr>
      <w:r>
        <w:rPr>
          <w:rFonts w:ascii="仿宋_GB2312" w:hAnsi="仿宋_GB2312" w:cs="仿宋_GB2312" w:eastAsia="仿宋_GB2312"/>
        </w:rPr>
        <w:t>采购包最高限价（元）: 1,999,394.96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仁宗街道仁宗村道路及饮水设施提升项目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1,999,394.96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标的名称：仁宗街道仁宗村道路及饮水设施提升项目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ind w:firstLine="420"/>
            </w:pPr>
            <w:r>
              <w:rPr>
                <w:rFonts w:ascii="仿宋_GB2312" w:hAnsi="仿宋_GB2312" w:cs="仿宋_GB2312" w:eastAsia="仿宋_GB2312"/>
                <w:sz w:val="21"/>
              </w:rPr>
              <w:t>仁宗街道仁宗村道路及饮水设施提升项目，包括修复姜湾组水毁道路长</w:t>
            </w:r>
            <w:r>
              <w:rPr>
                <w:rFonts w:ascii="仿宋_GB2312" w:hAnsi="仿宋_GB2312" w:cs="仿宋_GB2312" w:eastAsia="仿宋_GB2312"/>
                <w:sz w:val="21"/>
              </w:rPr>
              <w:t>300</w:t>
            </w:r>
            <w:r>
              <w:rPr>
                <w:rFonts w:ascii="仿宋_GB2312" w:hAnsi="仿宋_GB2312" w:cs="仿宋_GB2312" w:eastAsia="仿宋_GB2312"/>
                <w:sz w:val="21"/>
              </w:rPr>
              <w:t>米，宽</w:t>
            </w:r>
            <w:r>
              <w:rPr>
                <w:rFonts w:ascii="仿宋_GB2312" w:hAnsi="仿宋_GB2312" w:cs="仿宋_GB2312" w:eastAsia="仿宋_GB2312"/>
                <w:sz w:val="21"/>
              </w:rPr>
              <w:t>3.5</w:t>
            </w:r>
            <w:r>
              <w:rPr>
                <w:rFonts w:ascii="仿宋_GB2312" w:hAnsi="仿宋_GB2312" w:cs="仿宋_GB2312" w:eastAsia="仿宋_GB2312"/>
                <w:sz w:val="21"/>
              </w:rPr>
              <w:t>米，</w:t>
            </w:r>
            <w:r>
              <w:rPr>
                <w:rFonts w:ascii="仿宋_GB2312" w:hAnsi="仿宋_GB2312" w:cs="仿宋_GB2312" w:eastAsia="仿宋_GB2312"/>
                <w:sz w:val="21"/>
              </w:rPr>
              <w:t>1050</w:t>
            </w:r>
            <w:r>
              <w:rPr>
                <w:rFonts w:ascii="仿宋_GB2312" w:hAnsi="仿宋_GB2312" w:cs="仿宋_GB2312" w:eastAsia="仿宋_GB2312"/>
                <w:sz w:val="21"/>
              </w:rPr>
              <w:t>平方米，翻修许家组道路长</w:t>
            </w:r>
            <w:r>
              <w:rPr>
                <w:rFonts w:ascii="仿宋_GB2312" w:hAnsi="仿宋_GB2312" w:cs="仿宋_GB2312" w:eastAsia="仿宋_GB2312"/>
                <w:sz w:val="21"/>
              </w:rPr>
              <w:t>1500</w:t>
            </w:r>
            <w:r>
              <w:rPr>
                <w:rFonts w:ascii="仿宋_GB2312" w:hAnsi="仿宋_GB2312" w:cs="仿宋_GB2312" w:eastAsia="仿宋_GB2312"/>
                <w:sz w:val="21"/>
              </w:rPr>
              <w:t>米，宽</w:t>
            </w:r>
            <w:r>
              <w:rPr>
                <w:rFonts w:ascii="仿宋_GB2312" w:hAnsi="仿宋_GB2312" w:cs="仿宋_GB2312" w:eastAsia="仿宋_GB2312"/>
                <w:sz w:val="21"/>
              </w:rPr>
              <w:t>4</w:t>
            </w:r>
            <w:r>
              <w:rPr>
                <w:rFonts w:ascii="仿宋_GB2312" w:hAnsi="仿宋_GB2312" w:cs="仿宋_GB2312" w:eastAsia="仿宋_GB2312"/>
                <w:sz w:val="21"/>
              </w:rPr>
              <w:t>米</w:t>
            </w:r>
            <w:r>
              <w:rPr>
                <w:rFonts w:ascii="仿宋_GB2312" w:hAnsi="仿宋_GB2312" w:cs="仿宋_GB2312" w:eastAsia="仿宋_GB2312"/>
                <w:sz w:val="21"/>
              </w:rPr>
              <w:t>6000</w:t>
            </w:r>
            <w:r>
              <w:rPr>
                <w:rFonts w:ascii="仿宋_GB2312" w:hAnsi="仿宋_GB2312" w:cs="仿宋_GB2312" w:eastAsia="仿宋_GB2312"/>
                <w:sz w:val="21"/>
              </w:rPr>
              <w:t>平方米，修复和平组水毁道路长</w:t>
            </w:r>
            <w:r>
              <w:rPr>
                <w:rFonts w:ascii="仿宋_GB2312" w:hAnsi="仿宋_GB2312" w:cs="仿宋_GB2312" w:eastAsia="仿宋_GB2312"/>
                <w:sz w:val="21"/>
              </w:rPr>
              <w:t>632</w:t>
            </w:r>
            <w:r>
              <w:rPr>
                <w:rFonts w:ascii="仿宋_GB2312" w:hAnsi="仿宋_GB2312" w:cs="仿宋_GB2312" w:eastAsia="仿宋_GB2312"/>
                <w:sz w:val="21"/>
              </w:rPr>
              <w:t>米，宽</w:t>
            </w:r>
            <w:r>
              <w:rPr>
                <w:rFonts w:ascii="仿宋_GB2312" w:hAnsi="仿宋_GB2312" w:cs="仿宋_GB2312" w:eastAsia="仿宋_GB2312"/>
                <w:sz w:val="21"/>
              </w:rPr>
              <w:t>3.5</w:t>
            </w:r>
            <w:r>
              <w:rPr>
                <w:rFonts w:ascii="仿宋_GB2312" w:hAnsi="仿宋_GB2312" w:cs="仿宋_GB2312" w:eastAsia="仿宋_GB2312"/>
                <w:sz w:val="21"/>
              </w:rPr>
              <w:t>米，</w:t>
            </w:r>
            <w:r>
              <w:rPr>
                <w:rFonts w:ascii="仿宋_GB2312" w:hAnsi="仿宋_GB2312" w:cs="仿宋_GB2312" w:eastAsia="仿宋_GB2312"/>
                <w:sz w:val="21"/>
              </w:rPr>
              <w:t>2210</w:t>
            </w:r>
            <w:r>
              <w:rPr>
                <w:rFonts w:ascii="仿宋_GB2312" w:hAnsi="仿宋_GB2312" w:cs="仿宋_GB2312" w:eastAsia="仿宋_GB2312"/>
                <w:sz w:val="21"/>
              </w:rPr>
              <w:t>平方米，新修焦湾组人畜饮水</w:t>
            </w:r>
            <w:r>
              <w:rPr>
                <w:rFonts w:ascii="仿宋_GB2312" w:hAnsi="仿宋_GB2312" w:cs="仿宋_GB2312" w:eastAsia="仿宋_GB2312"/>
                <w:sz w:val="21"/>
              </w:rPr>
              <w:t>32</w:t>
            </w:r>
            <w:r>
              <w:rPr>
                <w:rFonts w:ascii="仿宋_GB2312" w:hAnsi="仿宋_GB2312" w:cs="仿宋_GB2312" w:eastAsia="仿宋_GB2312"/>
                <w:sz w:val="21"/>
              </w:rPr>
              <w:t>毫米管道</w:t>
            </w:r>
            <w:r>
              <w:rPr>
                <w:rFonts w:ascii="仿宋_GB2312" w:hAnsi="仿宋_GB2312" w:cs="仿宋_GB2312" w:eastAsia="仿宋_GB2312"/>
                <w:sz w:val="21"/>
              </w:rPr>
              <w:t>500</w:t>
            </w:r>
            <w:r>
              <w:rPr>
                <w:rFonts w:ascii="仿宋_GB2312" w:hAnsi="仿宋_GB2312" w:cs="仿宋_GB2312" w:eastAsia="仿宋_GB2312"/>
                <w:sz w:val="21"/>
              </w:rPr>
              <w:t>米，两座</w:t>
            </w:r>
            <w:r>
              <w:rPr>
                <w:rFonts w:ascii="仿宋_GB2312" w:hAnsi="仿宋_GB2312" w:cs="仿宋_GB2312" w:eastAsia="仿宋_GB2312"/>
                <w:sz w:val="21"/>
              </w:rPr>
              <w:t>20</w:t>
            </w:r>
            <w:r>
              <w:rPr>
                <w:rFonts w:ascii="仿宋_GB2312" w:hAnsi="仿宋_GB2312" w:cs="仿宋_GB2312" w:eastAsia="仿宋_GB2312"/>
                <w:sz w:val="21"/>
              </w:rPr>
              <w:t>立方米蓄水池。</w:t>
            </w:r>
          </w:p>
          <w:p>
            <w:pPr>
              <w:pStyle w:val="null3"/>
            </w:pPr>
            <w:r>
              <w:rPr>
                <w:rFonts w:ascii="仿宋_GB2312" w:hAnsi="仿宋_GB2312" w:cs="仿宋_GB2312" w:eastAsia="仿宋_GB2312"/>
                <w:sz w:val="21"/>
                <w:b/>
              </w:rPr>
              <w:t>二、工程地点：</w:t>
            </w:r>
            <w:r>
              <w:rPr>
                <w:rFonts w:ascii="仿宋_GB2312" w:hAnsi="仿宋_GB2312" w:cs="仿宋_GB2312" w:eastAsia="仿宋_GB2312"/>
                <w:sz w:val="21"/>
              </w:rPr>
              <w:t>仁宗街道仁宗村</w:t>
            </w:r>
          </w:p>
          <w:p>
            <w:pPr>
              <w:pStyle w:val="null3"/>
            </w:pPr>
            <w:r>
              <w:rPr>
                <w:rFonts w:ascii="仿宋_GB2312" w:hAnsi="仿宋_GB2312" w:cs="仿宋_GB2312" w:eastAsia="仿宋_GB2312"/>
                <w:sz w:val="21"/>
                <w:b/>
              </w:rPr>
              <w:t>三、计划工期：</w:t>
            </w:r>
            <w:r>
              <w:rPr>
                <w:rFonts w:ascii="仿宋_GB2312" w:hAnsi="仿宋_GB2312" w:cs="仿宋_GB2312" w:eastAsia="仿宋_GB2312"/>
                <w:sz w:val="21"/>
              </w:rPr>
              <w:t>自合同签订之日起</w:t>
            </w:r>
            <w:r>
              <w:rPr>
                <w:rFonts w:ascii="仿宋_GB2312" w:hAnsi="仿宋_GB2312" w:cs="仿宋_GB2312" w:eastAsia="仿宋_GB2312"/>
                <w:sz w:val="21"/>
              </w:rPr>
              <w:t>60</w:t>
            </w:r>
            <w:r>
              <w:rPr>
                <w:rFonts w:ascii="仿宋_GB2312" w:hAnsi="仿宋_GB2312" w:cs="仿宋_GB2312" w:eastAsia="仿宋_GB2312"/>
                <w:sz w:val="21"/>
              </w:rPr>
              <w:t>日历天。</w:t>
            </w:r>
          </w:p>
          <w:p>
            <w:pPr>
              <w:pStyle w:val="null3"/>
            </w:pPr>
            <w:r>
              <w:rPr>
                <w:rFonts w:ascii="仿宋_GB2312" w:hAnsi="仿宋_GB2312" w:cs="仿宋_GB2312" w:eastAsia="仿宋_GB2312"/>
                <w:sz w:val="21"/>
                <w:b/>
              </w:rPr>
              <w:t>四、质保期：</w:t>
            </w:r>
            <w:r>
              <w:rPr>
                <w:rFonts w:ascii="仿宋_GB2312" w:hAnsi="仿宋_GB2312" w:cs="仿宋_GB2312" w:eastAsia="仿宋_GB2312"/>
                <w:sz w:val="21"/>
              </w:rPr>
              <w:t>根据《建设工程质量管理条例》有关规定执行。</w:t>
            </w:r>
            <w:r>
              <w:rPr>
                <w:rFonts w:ascii="仿宋_GB2312" w:hAnsi="仿宋_GB2312" w:cs="仿宋_GB2312" w:eastAsia="仿宋_GB2312"/>
                <w:b/>
              </w:rPr>
              <w:t xml:space="preserve"> </w:t>
            </w:r>
          </w:p>
          <w:p>
            <w:pPr>
              <w:pStyle w:val="null3"/>
            </w:pPr>
            <w:r>
              <w:rPr>
                <w:rFonts w:ascii="仿宋_GB2312" w:hAnsi="仿宋_GB2312" w:cs="仿宋_GB2312" w:eastAsia="仿宋_GB2312"/>
                <w:sz w:val="21"/>
                <w:b/>
              </w:rPr>
              <w:t>五、工程量清单和计价依据</w:t>
            </w:r>
          </w:p>
          <w:p>
            <w:pPr>
              <w:pStyle w:val="null3"/>
              <w:ind w:firstLine="420"/>
            </w:pPr>
            <w:r>
              <w:rPr>
                <w:rFonts w:ascii="仿宋_GB2312" w:hAnsi="仿宋_GB2312" w:cs="仿宋_GB2312" w:eastAsia="仿宋_GB2312"/>
                <w:sz w:val="21"/>
              </w:rPr>
              <w:t>（一）计价依据：</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、国家标准及行业标准相关图集；</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、该项目的设计施工图纸；</w:t>
            </w:r>
          </w:p>
          <w:p>
            <w:pPr>
              <w:pStyle w:val="null3"/>
              <w:ind w:firstLine="420"/>
            </w:pPr>
            <w:r>
              <w:rPr>
                <w:rFonts w:ascii="仿宋_GB2312" w:hAnsi="仿宋_GB2312" w:cs="仿宋_GB2312" w:eastAsia="仿宋_GB2312"/>
                <w:sz w:val="21"/>
              </w:rPr>
              <w:t>3</w:t>
            </w:r>
            <w:r>
              <w:rPr>
                <w:rFonts w:ascii="仿宋_GB2312" w:hAnsi="仿宋_GB2312" w:cs="仿宋_GB2312" w:eastAsia="仿宋_GB2312"/>
                <w:sz w:val="21"/>
              </w:rPr>
              <w:t>、材料价格参考陕西省西安市临潼区施工当期材料信息价及市场调研价；</w:t>
            </w:r>
          </w:p>
          <w:p>
            <w:pPr>
              <w:pStyle w:val="null3"/>
              <w:ind w:firstLine="420"/>
            </w:pPr>
            <w:r>
              <w:rPr>
                <w:rFonts w:ascii="仿宋_GB2312" w:hAnsi="仿宋_GB2312" w:cs="仿宋_GB2312" w:eastAsia="仿宋_GB2312"/>
                <w:sz w:val="21"/>
              </w:rPr>
              <w:t>4</w:t>
            </w:r>
            <w:r>
              <w:rPr>
                <w:rFonts w:ascii="仿宋_GB2312" w:hAnsi="仿宋_GB2312" w:cs="仿宋_GB2312" w:eastAsia="仿宋_GB2312"/>
                <w:sz w:val="21"/>
              </w:rPr>
              <w:t>、本工程采用现行《陕西省建设工程工程量清单计价计算标准（</w:t>
            </w:r>
            <w:r>
              <w:rPr>
                <w:rFonts w:ascii="仿宋_GB2312" w:hAnsi="仿宋_GB2312" w:cs="仿宋_GB2312" w:eastAsia="仿宋_GB2312"/>
                <w:sz w:val="21"/>
              </w:rPr>
              <w:t>2025</w:t>
            </w:r>
            <w:r>
              <w:rPr>
                <w:rFonts w:ascii="仿宋_GB2312" w:hAnsi="仿宋_GB2312" w:cs="仿宋_GB2312" w:eastAsia="仿宋_GB2312"/>
                <w:sz w:val="21"/>
              </w:rPr>
              <w:t>）》；《陕西省市政工程基价表（</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5</w:t>
            </w:r>
            <w:r>
              <w:rPr>
                <w:rFonts w:ascii="仿宋_GB2312" w:hAnsi="仿宋_GB2312" w:cs="仿宋_GB2312" w:eastAsia="仿宋_GB2312"/>
                <w:sz w:val="21"/>
              </w:rPr>
              <w:t>、各类取费参考陕西省住房和城乡建设厅关于印发</w:t>
            </w:r>
            <w:r>
              <w:rPr>
                <w:rFonts w:ascii="仿宋_GB2312" w:hAnsi="仿宋_GB2312" w:cs="仿宋_GB2312" w:eastAsia="仿宋_GB2312"/>
                <w:sz w:val="21"/>
              </w:rPr>
              <w:t>2025</w:t>
            </w:r>
            <w:r>
              <w:rPr>
                <w:rFonts w:ascii="仿宋_GB2312" w:hAnsi="仿宋_GB2312" w:cs="仿宋_GB2312" w:eastAsia="仿宋_GB2312"/>
                <w:sz w:val="21"/>
              </w:rPr>
              <w:t>陕西省建设工程费用规则等计价依据的通知《陕建管发（</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号》；</w:t>
            </w:r>
          </w:p>
          <w:p>
            <w:pPr>
              <w:pStyle w:val="null3"/>
              <w:ind w:firstLine="420"/>
            </w:pPr>
            <w:r>
              <w:rPr>
                <w:rFonts w:ascii="仿宋_GB2312" w:hAnsi="仿宋_GB2312" w:cs="仿宋_GB2312" w:eastAsia="仿宋_GB2312"/>
                <w:sz w:val="21"/>
              </w:rPr>
              <w:t>（二）其他说明</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、该招标最高限价为含增值税工程造价；</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、编制软件：广联达造价软件陕西版</w:t>
            </w:r>
            <w:r>
              <w:rPr>
                <w:rFonts w:ascii="仿宋_GB2312" w:hAnsi="仿宋_GB2312" w:cs="仿宋_GB2312" w:eastAsia="仿宋_GB2312"/>
                <w:sz w:val="21"/>
              </w:rPr>
              <w:t>7.5000.23.2</w:t>
            </w:r>
            <w:r>
              <w:rPr>
                <w:rFonts w:ascii="仿宋_GB2312" w:hAnsi="仿宋_GB2312" w:cs="仿宋_GB2312" w:eastAsia="仿宋_GB2312"/>
                <w:sz w:val="21"/>
              </w:rPr>
              <w:t>。</w:t>
            </w:r>
          </w:p>
          <w:p>
            <w:pPr>
              <w:pStyle w:val="null3"/>
            </w:pPr>
            <w:r>
              <w:rPr>
                <w:rFonts w:ascii="仿宋_GB2312" w:hAnsi="仿宋_GB2312" w:cs="仿宋_GB2312" w:eastAsia="仿宋_GB2312"/>
                <w:sz w:val="21"/>
                <w:b/>
              </w:rPr>
              <w:t>六、施工要求</w:t>
            </w:r>
          </w:p>
          <w:p>
            <w:pPr>
              <w:pStyle w:val="null3"/>
              <w:ind w:firstLine="420"/>
            </w:pPr>
            <w:r>
              <w:rPr>
                <w:rFonts w:ascii="仿宋_GB2312" w:hAnsi="仿宋_GB2312" w:cs="仿宋_GB2312" w:eastAsia="仿宋_GB2312"/>
                <w:sz w:val="21"/>
              </w:rPr>
              <w:t>在施工期间，成交供应商必须注意人员安全，加强安全措施，并定期对施工人员进行安全教育，且施工人员必须持证上岗</w:t>
            </w:r>
            <w:r>
              <w:rPr>
                <w:rFonts w:ascii="仿宋_GB2312" w:hAnsi="仿宋_GB2312" w:cs="仿宋_GB2312" w:eastAsia="仿宋_GB2312"/>
                <w:sz w:val="21"/>
                <w:b/>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满足磋商文件、图纸、工程量清单的全部内容。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2、本项目属性：工程类；本项目采购标的所属行业为：建筑业。（按照《工信部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3、成交供应商在成交结果发布后3个工作日内无偿向代理机构提供纸质版响应文件二套，电子U盘二个（U盘内容包括Word版本、与系统上传后导出完全一致的PDF版响应文件）。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拟派项目经理具备市政公用工程二级及以上注册建造师证书和安全生产考核合格证（B证），在本单位注册且无在建工程（提供无在建工程承诺书）；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供应商及拟派项目经理基本信息备案</w:t>
            </w:r>
          </w:p>
        </w:tc>
        <w:tc>
          <w:tcPr>
            <w:tcW w:type="dxa" w:w="3322"/>
          </w:tcPr>
          <w:p>
            <w:pPr>
              <w:pStyle w:val="null3"/>
            </w:pPr>
            <w:r>
              <w:rPr>
                <w:rFonts w:ascii="仿宋_GB2312" w:hAnsi="仿宋_GB2312" w:cs="仿宋_GB2312" w:eastAsia="仿宋_GB2312"/>
              </w:rPr>
              <w:t>供应商及拟派项目经理基本信息应在“陕西省住房和城乡建设厅网站（http://js.shaanxi.gov.cn/）陕西省建筑市场监管与诚信信息发布平台”可查询；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（1）响应文件的签署盖章：与所投项目名称、项目编号一致，且符合磋商文件签署盖章要求； （2）响应文件格式：符合磋商文件“第七章 响应文件格式”的规定 ； （3）报价唯一：只能有一个有效报价，不得提交选择性报价，且报价不超过磋商文件规定的采购预算金额及最高限价。</w:t>
            </w:r>
          </w:p>
        </w:tc>
        <w:tc>
          <w:tcPr>
            <w:tcW w:type="dxa" w:w="1661"/>
          </w:tcPr>
          <w:p>
            <w:pPr>
              <w:pStyle w:val="null3"/>
            </w:pPr>
            <w:r>
              <w:rPr>
                <w:rFonts w:ascii="仿宋_GB2312" w:hAnsi="仿宋_GB2312" w:cs="仿宋_GB2312" w:eastAsia="仿宋_GB2312"/>
              </w:rPr>
              <w:t>业绩一览表.docx 已标价工程量清单 中小企业声明函 资格证明文件.docx 施工组织设计.docx 响应文件封面 残疾人福利性单位声明函 报价函 标的清单 供应商拒绝政府采购领域商业贿赂承诺书.docx 响应函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工程质量、质保期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施工部署及准备</w:t>
            </w:r>
          </w:p>
        </w:tc>
        <w:tc>
          <w:tcPr>
            <w:tcW w:type="dxa" w:w="2492"/>
          </w:tcPr>
          <w:p>
            <w:pPr>
              <w:pStyle w:val="null3"/>
            </w:pPr>
            <w:r>
              <w:rPr>
                <w:rFonts w:ascii="仿宋_GB2312" w:hAnsi="仿宋_GB2312" w:cs="仿宋_GB2312" w:eastAsia="仿宋_GB2312"/>
              </w:rPr>
              <w:t>供应商针对本项目编制完善的施工部署及准备；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分部分项施工方法</w:t>
            </w:r>
          </w:p>
        </w:tc>
        <w:tc>
          <w:tcPr>
            <w:tcW w:type="dxa" w:w="2492"/>
          </w:tcPr>
          <w:p>
            <w:pPr>
              <w:pStyle w:val="null3"/>
            </w:pPr>
            <w:r>
              <w:rPr>
                <w:rFonts w:ascii="仿宋_GB2312" w:hAnsi="仿宋_GB2312" w:cs="仿宋_GB2312" w:eastAsia="仿宋_GB2312"/>
              </w:rPr>
              <w:t>供应商针对本项目编制完善的分部分项施工方法；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针对本项目有确保项目质量的技术组织措施；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针对本项目有切实可行的确保安全施工的技术组织措施；①措施内容全面、具体、科学，可行性强，得6分；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针对本项目有具体、可行的文明施工的技术组织措施；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针对本项目有具体、可行的环境保护的技术组织措施（包含治污减霾措施）；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针对本项目有具体、可行的确保工期的技术组织措施；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根据本项目的具体情况，设置合理的进度控制点，制定周到、全面、具体的进度计划，能够充分考虑计划，均衡资源，满足工期和质量。 ①进度计划全面、科学、合理性强，得6分； ②进度计划相对全面、科学、合理性较强，得5分； ③进度计划基本全面、较科学、有一定的合理性，得4分； ④进度计划不够全面、科学、合理性相对较弱，得3分； ⑤进度计划笼统，合理性有待考究的，得2分； ⑥进度计划不全面、科学、合理性较差，得1分；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①针对本项目拟投入的主要设备及劳动力配备情况，充足、完备、先进、可行的，得6分； ②针对本项目拟投入的主要设备及劳动力配备情况，较为先进、合理可行，得5分； ③针对本项目拟投入的主要设备及劳动力配备情况，相对先进、相对合理可行，得4分； ④针对本项目拟投入的主要设备及劳动力配备情况、设备及劳动力配备，较先进、基本合理可行，得3分； ⑤针对本项目拟投入的主要设备及劳动力配备情况，不够合理可行，得2分； ⑥针对本项目拟投入的主要设备及劳动力配备情况，不合理，需在采购人要求下完善后才能实施的，得1分；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项目管理机构组织结构合理，技术人员配置（专职安全员、施工员、资料员、质量员、材料员等）齐全，责任明确；①针对本项目拟投入项目经理部组成人员结构合理，人员配备齐全，责任明确，佐证材料齐全得6分； ②针对本项目拟投入项目经理部组成人员结构相对合理，人员配备相对齐全，责任相对明确，有相关佐证材料得5分； ③针对本项目拟投入项目经理部组成人员结构基本合理，人员配备基本齐全，责任基本明确，有相关佐证材料得4分； ④针对本项目拟投入项目经理部组成人员结构不够合理，人员配备不够齐全，责任不太明确，相关佐证材料缺失得3分； ⑤针对本项目拟投入项目经理部组成人员内容笼统，可行性有待考究的，得2分； ⑥针对本项目拟投入项目经理部组成人员结构不合理，人员配备不齐全，责任不明确，相关佐证材料缺失得1分；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包括工程维修服务承诺、保修措施和响应时限、发生质量问题后的补救措施。 ①针对本项目的质量保修承诺，响应全面完整，描述详细，步骤清晰；可实施性强，紧扣项目实际情况的得4分； ②针对本项目的质量保修承诺，响应基本完整、可行，描述有轻微缺陷但不影响具体实施的得3分； ③针对本项目的质量保修承诺，内容不够合理、可行，不能满足项目要求的得2分； ④针对本项目的质量保修承诺，内容差且不切合实际情况的得1分； ⑤无内容不得分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提供2023年1月1日至截标时间前类似项目业绩（以合同或中标通知书为准，须在磋商响应文件中附以上证明材料的扫描件加盖单位公章，每份合格业绩计2分，满分6分。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