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版本号：SXHR-2026-00820260402001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相桥街道任家村人居环境提升项目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SXHR-2026-008</w:t>
      </w:r>
      <w:r>
        <w:br/>
      </w:r>
      <w:r>
        <w:br/>
      </w:r>
      <w:r>
        <w:br/>
      </w:r>
    </w:p>
    <w:p>
      <w:pPr>
        <w:pStyle w:val="null3"/>
        <w:jc w:val="center"/>
        <w:outlineLvl w:val="2"/>
      </w:pPr>
      <w:r>
        <w:rPr>
          <w:rFonts w:ascii="仿宋_GB2312" w:hAnsi="仿宋_GB2312" w:cs="仿宋_GB2312" w:eastAsia="仿宋_GB2312"/>
          <w:sz w:val="28"/>
          <w:b/>
        </w:rPr>
        <w:t>西安市临潼区相桥街道办事处</w:t>
      </w:r>
    </w:p>
    <w:p>
      <w:pPr>
        <w:pStyle w:val="null3"/>
        <w:jc w:val="center"/>
        <w:outlineLvl w:val="2"/>
      </w:pPr>
      <w:r>
        <w:rPr>
          <w:rFonts w:ascii="仿宋_GB2312" w:hAnsi="仿宋_GB2312" w:cs="仿宋_GB2312" w:eastAsia="仿宋_GB2312"/>
          <w:sz w:val="28"/>
          <w:b/>
        </w:rPr>
        <w:t>陕西寰瑞项目管理有限公司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陕西寰瑞项目管理有限公司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西安市临潼区相桥街道办事处</w:t>
      </w:r>
      <w:r>
        <w:rPr>
          <w:rFonts w:ascii="仿宋_GB2312" w:hAnsi="仿宋_GB2312" w:cs="仿宋_GB2312" w:eastAsia="仿宋_GB2312"/>
        </w:rPr>
        <w:t>委托，拟对</w:t>
      </w:r>
      <w:r>
        <w:rPr>
          <w:rFonts w:ascii="仿宋_GB2312" w:hAnsi="仿宋_GB2312" w:cs="仿宋_GB2312" w:eastAsia="仿宋_GB2312"/>
        </w:rPr>
        <w:t>相桥街道任家村人居环境提升项目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SXHR-2026-008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相桥街道任家村人居环境提升项目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村道沥青铺设6600平方米，村道道沿铺设1700米，配套两侧绿化。西凌组道路硬化长480米宽5.5米，共2640平方米，铺设道沿700米。西凌组新修道路长150米宽3米，共450平方米。村内建设小微文化体育广场两处。安装菜园篱笆230米。西凌组污水管网建设。铺设污水管道600米长，φ300螺纹管，修建20个污水检查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采购包1（相桥街道任家村人居环境提升项目）：属于专门面向中小企业采购。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1、法定代表人授权书或身份证明：提供法定代表人授权书（附法定代表人、被授权人身份证复印件）（法定代表人直接参加磋商，须提供法定代表人身份证明）；非法人单位参照执行；</w:t>
      </w:r>
    </w:p>
    <w:p>
      <w:pPr>
        <w:pStyle w:val="null3"/>
      </w:pPr>
      <w:r>
        <w:rPr>
          <w:rFonts w:ascii="仿宋_GB2312" w:hAnsi="仿宋_GB2312" w:cs="仿宋_GB2312" w:eastAsia="仿宋_GB2312"/>
        </w:rPr>
        <w:t>2、供应商资质要求：供应商须具备建设行政主管部门颁发的市政公用工程施工总承包三级（含三级）以上资质，且具备有效的安全生产许可证；</w:t>
      </w:r>
    </w:p>
    <w:p>
      <w:pPr>
        <w:pStyle w:val="null3"/>
      </w:pPr>
      <w:r>
        <w:rPr>
          <w:rFonts w:ascii="仿宋_GB2312" w:hAnsi="仿宋_GB2312" w:cs="仿宋_GB2312" w:eastAsia="仿宋_GB2312"/>
        </w:rPr>
        <w:t>3、拟派项目经理资质要求：拟派项目经理具备市政公用工程二级及以上注册建造师证书和安全生产考核合格证（B证），在本单位注册且无在建工程（提供无在建工程承诺书）；</w:t>
      </w:r>
    </w:p>
    <w:p>
      <w:pPr>
        <w:pStyle w:val="null3"/>
      </w:pPr>
      <w:r>
        <w:rPr>
          <w:rFonts w:ascii="仿宋_GB2312" w:hAnsi="仿宋_GB2312" w:cs="仿宋_GB2312" w:eastAsia="仿宋_GB2312"/>
        </w:rPr>
        <w:t>4、供应商及拟派项目经理基本信息备案：供应商及拟派项目经理基本信息应在“陕西省住房和城乡建设厅网站（http://js.shaanxi.gov.cn/）陕西省建筑市场监管与诚信信息发布平台”可查询；</w:t>
      </w:r>
    </w:p>
    <w:p>
      <w:pPr>
        <w:pStyle w:val="null3"/>
      </w:pPr>
      <w:r>
        <w:rPr>
          <w:rFonts w:ascii="仿宋_GB2312" w:hAnsi="仿宋_GB2312" w:cs="仿宋_GB2312" w:eastAsia="仿宋_GB2312"/>
        </w:rPr>
        <w:t>5、供应商信用记录：供应商不得为“信用中国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西安市临潼区相桥街道办事处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临潼区相桥街道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13488339003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陕西寰瑞项目管理有限公司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陕西省西安市临潼区东关街21号建筑小区综合楼北单元5层南户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高美娟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18392530573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采购包1：1,988,273.64元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代理服务费收费标准：成交供应商在领取成交通知书前一次性支付代理服务费。 （1）招标代理费金额以中标金额为基数参照国家计委颁发的《招标代理服务收费管理暂行办法》（计价格〔2002〕1980号）、国家发展改革委办公厅颁发的《关于招标代理服务收费有关问题的通知》（发改办价格〔2003〕857号）、《国家发展改革委关于降低部分建设项目收费标准规范收费行为等有关问题的通知》（发改价格〔2011〕534号）的有关规定执行； （2）招标代理服务费账户 户名：陕西寰瑞项目管理有限公司 开户行：中国工商银行股份有限公司西安临潼区支行 账号：3700029209200454460</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西安市临潼区相桥街道办事处</w:t>
      </w:r>
      <w:r>
        <w:rPr>
          <w:rFonts w:ascii="仿宋_GB2312" w:hAnsi="仿宋_GB2312" w:cs="仿宋_GB2312" w:eastAsia="仿宋_GB2312"/>
        </w:rPr>
        <w:t>和</w:t>
      </w:r>
      <w:r>
        <w:rPr>
          <w:rFonts w:ascii="仿宋_GB2312" w:hAnsi="仿宋_GB2312" w:cs="仿宋_GB2312" w:eastAsia="仿宋_GB2312"/>
        </w:rPr>
        <w:t>陕西寰瑞项目管理有限公司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西安市临潼区相桥街道办事处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陕西寰瑞项目管理有限公司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西安市临潼区相桥街道办事处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陕西寰瑞项目管理有限公司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联系人：高美娟</w:t>
      </w:r>
    </w:p>
    <w:p>
      <w:pPr>
        <w:pStyle w:val="null3"/>
      </w:pPr>
      <w:r>
        <w:rPr>
          <w:rFonts w:ascii="仿宋_GB2312" w:hAnsi="仿宋_GB2312" w:cs="仿宋_GB2312" w:eastAsia="仿宋_GB2312"/>
        </w:rPr>
        <w:t>联系电话：18392530573</w:t>
      </w:r>
    </w:p>
    <w:p>
      <w:pPr>
        <w:pStyle w:val="null3"/>
      </w:pPr>
      <w:r>
        <w:rPr>
          <w:rFonts w:ascii="仿宋_GB2312" w:hAnsi="仿宋_GB2312" w:cs="仿宋_GB2312" w:eastAsia="仿宋_GB2312"/>
        </w:rPr>
        <w:t>地址： 陕西省西安市临潼区东关街21号建筑小区综合楼北单元5层南户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1,988,273.64</w:t>
      </w:r>
    </w:p>
    <w:p>
      <w:pPr>
        <w:pStyle w:val="null3"/>
      </w:pPr>
      <w:r>
        <w:rPr>
          <w:rFonts w:ascii="仿宋_GB2312" w:hAnsi="仿宋_GB2312" w:cs="仿宋_GB2312" w:eastAsia="仿宋_GB2312"/>
        </w:rPr>
        <w:t>采购包最高限价（元）: 1,988,273.64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相桥街道任家村人居环境提升项目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1,988,273.64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标的名称：相桥街道任家村人居环境提升项目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、项目概况</w:t>
            </w:r>
          </w:p>
          <w:p>
            <w:pPr>
              <w:pStyle w:val="null3"/>
              <w:jc w:val="left"/>
            </w:pPr>
            <w:r>
              <w:rPr>
                <w:rFonts w:ascii="仿宋_GB2312" w:hAnsi="仿宋_GB2312" w:cs="仿宋_GB2312" w:eastAsia="仿宋_GB2312"/>
                <w:sz w:val="24"/>
              </w:rPr>
              <w:t xml:space="preserve">   村道沥青铺设</w:t>
            </w:r>
            <w:r>
              <w:rPr>
                <w:rFonts w:ascii="仿宋_GB2312" w:hAnsi="仿宋_GB2312" w:cs="仿宋_GB2312" w:eastAsia="仿宋_GB2312"/>
                <w:sz w:val="24"/>
              </w:rPr>
              <w:t>6600平方米，村道道沿铺设1700米，配套两侧绿化。西凌组道路硬化长480米宽5.5米，共2640平方米，铺设道沿700米。西凌组新修道路长150米宽3米，共450平方米。村内建设小微文化体育广场两处。安装菜园篱笆230米。西凌组污水管网建设。铺设污水管道600米长，φ300螺纹管，修建20个污水检查井。</w:t>
            </w:r>
          </w:p>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工程地点：</w:t>
            </w:r>
            <w:r>
              <w:rPr>
                <w:rFonts w:ascii="仿宋_GB2312" w:hAnsi="仿宋_GB2312" w:cs="仿宋_GB2312" w:eastAsia="仿宋_GB2312"/>
                <w:sz w:val="24"/>
              </w:rPr>
              <w:t>相桥街道任家村</w:t>
            </w:r>
          </w:p>
          <w:p>
            <w:pPr>
              <w:pStyle w:val="null3"/>
              <w:jc w:val="left"/>
            </w:pPr>
            <w:r>
              <w:rPr>
                <w:rFonts w:ascii="仿宋_GB2312" w:hAnsi="仿宋_GB2312" w:cs="仿宋_GB2312" w:eastAsia="仿宋_GB2312"/>
                <w:sz w:val="24"/>
              </w:rPr>
              <w:t>三、计划工期：</w:t>
            </w:r>
            <w:r>
              <w:rPr>
                <w:rFonts w:ascii="仿宋_GB2312" w:hAnsi="仿宋_GB2312" w:cs="仿宋_GB2312" w:eastAsia="仿宋_GB2312"/>
                <w:sz w:val="24"/>
              </w:rPr>
              <w:t>自合同签订之日起</w:t>
            </w:r>
            <w:r>
              <w:rPr>
                <w:rFonts w:ascii="仿宋_GB2312" w:hAnsi="仿宋_GB2312" w:cs="仿宋_GB2312" w:eastAsia="仿宋_GB2312"/>
                <w:sz w:val="24"/>
              </w:rPr>
              <w:t>60</w:t>
            </w:r>
            <w:r>
              <w:rPr>
                <w:rFonts w:ascii="仿宋_GB2312" w:hAnsi="仿宋_GB2312" w:cs="仿宋_GB2312" w:eastAsia="仿宋_GB2312"/>
                <w:sz w:val="24"/>
              </w:rPr>
              <w:t>个日历天</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四、质保期：</w:t>
            </w:r>
            <w:r>
              <w:rPr>
                <w:rFonts w:ascii="仿宋_GB2312" w:hAnsi="仿宋_GB2312" w:cs="仿宋_GB2312" w:eastAsia="仿宋_GB2312"/>
                <w:sz w:val="24"/>
              </w:rPr>
              <w:t>根据《建设工程质量管理条例》有关规定执行。</w:t>
            </w:r>
          </w:p>
          <w:p>
            <w:pPr>
              <w:pStyle w:val="null3"/>
              <w:spacing w:before="90"/>
              <w:jc w:val="left"/>
            </w:pPr>
            <w:r>
              <w:rPr>
                <w:rFonts w:ascii="仿宋_GB2312" w:hAnsi="仿宋_GB2312" w:cs="仿宋_GB2312" w:eastAsia="仿宋_GB2312"/>
                <w:sz w:val="24"/>
              </w:rPr>
              <w:t>五</w:t>
            </w:r>
            <w:r>
              <w:rPr>
                <w:rFonts w:ascii="仿宋_GB2312" w:hAnsi="仿宋_GB2312" w:cs="仿宋_GB2312" w:eastAsia="仿宋_GB2312"/>
                <w:sz w:val="24"/>
              </w:rPr>
              <w:t>、工程量清单和计价依据</w:t>
            </w:r>
          </w:p>
          <w:p>
            <w:pPr>
              <w:pStyle w:val="null3"/>
              <w:ind w:firstLine="456"/>
              <w:jc w:val="left"/>
            </w:pPr>
            <w:r>
              <w:rPr>
                <w:rFonts w:ascii="仿宋_GB2312" w:hAnsi="仿宋_GB2312" w:cs="仿宋_GB2312" w:eastAsia="仿宋_GB2312"/>
                <w:sz w:val="24"/>
              </w:rPr>
              <w:t>（一）计价依据：</w:t>
            </w:r>
          </w:p>
          <w:p>
            <w:pPr>
              <w:pStyle w:val="null3"/>
              <w:ind w:firstLine="452"/>
              <w:jc w:val="left"/>
            </w:pPr>
            <w:r>
              <w:rPr>
                <w:rFonts w:ascii="仿宋_GB2312" w:hAnsi="仿宋_GB2312" w:cs="仿宋_GB2312" w:eastAsia="仿宋_GB2312"/>
                <w:sz w:val="24"/>
              </w:rPr>
              <w:t>1、国家标准及行业标准相关图集；</w:t>
            </w:r>
          </w:p>
          <w:p>
            <w:pPr>
              <w:pStyle w:val="null3"/>
              <w:ind w:firstLine="452"/>
              <w:jc w:val="left"/>
            </w:pPr>
            <w:r>
              <w:rPr>
                <w:rFonts w:ascii="仿宋_GB2312" w:hAnsi="仿宋_GB2312" w:cs="仿宋_GB2312" w:eastAsia="仿宋_GB2312"/>
                <w:sz w:val="24"/>
              </w:rPr>
              <w:t>2、该项目的设计施工图纸；</w:t>
            </w:r>
          </w:p>
          <w:p>
            <w:pPr>
              <w:pStyle w:val="null3"/>
              <w:ind w:firstLine="452"/>
              <w:jc w:val="left"/>
            </w:pPr>
            <w:r>
              <w:rPr>
                <w:rFonts w:ascii="仿宋_GB2312" w:hAnsi="仿宋_GB2312" w:cs="仿宋_GB2312" w:eastAsia="仿宋_GB2312"/>
                <w:sz w:val="24"/>
              </w:rPr>
              <w:t>3、材料价格选用《临潼区工程造价信息》2025年12月及《陕西省工程造价管理信息》2025年12月或现行市场调查价格计算；</w:t>
            </w:r>
          </w:p>
          <w:p>
            <w:pPr>
              <w:pStyle w:val="null3"/>
              <w:ind w:firstLine="452"/>
              <w:jc w:val="left"/>
            </w:pPr>
            <w:r>
              <w:rPr>
                <w:rFonts w:ascii="仿宋_GB2312" w:hAnsi="仿宋_GB2312" w:cs="仿宋_GB2312" w:eastAsia="仿宋_GB2312"/>
                <w:sz w:val="24"/>
              </w:rPr>
              <w:t>4、本工程采用现行：</w:t>
            </w:r>
          </w:p>
          <w:p>
            <w:pPr>
              <w:pStyle w:val="null3"/>
              <w:ind w:firstLine="452"/>
              <w:jc w:val="left"/>
            </w:pPr>
            <w:r>
              <w:rPr>
                <w:rFonts w:ascii="仿宋_GB2312" w:hAnsi="仿宋_GB2312" w:cs="仿宋_GB2312" w:eastAsia="仿宋_GB2312"/>
                <w:sz w:val="24"/>
              </w:rPr>
              <w:t>《陕西省建设工程工程量清单计价计算标准（</w:t>
            </w:r>
            <w:r>
              <w:rPr>
                <w:rFonts w:ascii="仿宋_GB2312" w:hAnsi="仿宋_GB2312" w:cs="仿宋_GB2312" w:eastAsia="仿宋_GB2312"/>
                <w:sz w:val="24"/>
              </w:rPr>
              <w:t>2025）》；</w:t>
            </w:r>
          </w:p>
          <w:p>
            <w:pPr>
              <w:pStyle w:val="null3"/>
              <w:ind w:firstLine="452"/>
              <w:jc w:val="left"/>
            </w:pPr>
            <w:r>
              <w:rPr>
                <w:rFonts w:ascii="仿宋_GB2312" w:hAnsi="仿宋_GB2312" w:cs="仿宋_GB2312" w:eastAsia="仿宋_GB2312"/>
                <w:sz w:val="24"/>
              </w:rPr>
              <w:t>《陕西省房屋建筑与装饰工程基价表（</w:t>
            </w:r>
            <w:r>
              <w:rPr>
                <w:rFonts w:ascii="仿宋_GB2312" w:hAnsi="仿宋_GB2312" w:cs="仿宋_GB2312" w:eastAsia="仿宋_GB2312"/>
                <w:sz w:val="24"/>
              </w:rPr>
              <w:t>2025）》；</w:t>
            </w:r>
          </w:p>
          <w:p>
            <w:pPr>
              <w:pStyle w:val="null3"/>
              <w:ind w:firstLine="452"/>
              <w:jc w:val="left"/>
            </w:pPr>
            <w:r>
              <w:rPr>
                <w:rFonts w:ascii="仿宋_GB2312" w:hAnsi="仿宋_GB2312" w:cs="仿宋_GB2312" w:eastAsia="仿宋_GB2312"/>
                <w:sz w:val="24"/>
              </w:rPr>
              <w:t>《陕西省通用安装工程基价表（</w:t>
            </w:r>
            <w:r>
              <w:rPr>
                <w:rFonts w:ascii="仿宋_GB2312" w:hAnsi="仿宋_GB2312" w:cs="仿宋_GB2312" w:eastAsia="仿宋_GB2312"/>
                <w:sz w:val="24"/>
              </w:rPr>
              <w:t>2025）》；</w:t>
            </w:r>
          </w:p>
          <w:p>
            <w:pPr>
              <w:pStyle w:val="null3"/>
              <w:ind w:firstLine="452"/>
              <w:jc w:val="left"/>
            </w:pPr>
            <w:r>
              <w:rPr>
                <w:rFonts w:ascii="仿宋_GB2312" w:hAnsi="仿宋_GB2312" w:cs="仿宋_GB2312" w:eastAsia="仿宋_GB2312"/>
                <w:sz w:val="24"/>
              </w:rPr>
              <w:t>《陕西省市政工程基价表（</w:t>
            </w:r>
            <w:r>
              <w:rPr>
                <w:rFonts w:ascii="仿宋_GB2312" w:hAnsi="仿宋_GB2312" w:cs="仿宋_GB2312" w:eastAsia="仿宋_GB2312"/>
                <w:sz w:val="24"/>
              </w:rPr>
              <w:t>2025）》；</w:t>
            </w:r>
          </w:p>
          <w:p>
            <w:pPr>
              <w:pStyle w:val="null3"/>
              <w:ind w:firstLine="452"/>
              <w:jc w:val="left"/>
            </w:pPr>
            <w:r>
              <w:rPr>
                <w:rFonts w:ascii="仿宋_GB2312" w:hAnsi="仿宋_GB2312" w:cs="仿宋_GB2312" w:eastAsia="仿宋_GB2312"/>
                <w:sz w:val="24"/>
              </w:rPr>
              <w:t>《陕西省园林绿化工程基价表（</w:t>
            </w:r>
            <w:r>
              <w:rPr>
                <w:rFonts w:ascii="仿宋_GB2312" w:hAnsi="仿宋_GB2312" w:cs="仿宋_GB2312" w:eastAsia="仿宋_GB2312"/>
                <w:sz w:val="24"/>
              </w:rPr>
              <w:t>2025）》；</w:t>
            </w:r>
          </w:p>
          <w:p>
            <w:pPr>
              <w:pStyle w:val="null3"/>
              <w:numPr>
                <w:ilvl w:val="0"/>
                <w:numId w:val="1"/>
              </w:numPr>
              <w:jc w:val="left"/>
            </w:pPr>
            <w:r>
              <w:rPr>
                <w:rFonts w:ascii="仿宋_GB2312" w:hAnsi="仿宋_GB2312" w:cs="仿宋_GB2312" w:eastAsia="仿宋_GB2312"/>
                <w:sz w:val="24"/>
              </w:rPr>
              <w:t>人工费、各种费率及税金执行《陕西省建设工程费用规则（</w:t>
            </w:r>
            <w:r>
              <w:rPr>
                <w:rFonts w:ascii="仿宋_GB2312" w:hAnsi="仿宋_GB2312" w:cs="仿宋_GB2312" w:eastAsia="仿宋_GB2312"/>
                <w:sz w:val="24"/>
              </w:rPr>
              <w:t>2025）》各项规定，本工程采用一般计税模式；</w:t>
            </w:r>
          </w:p>
          <w:p>
            <w:pPr>
              <w:pStyle w:val="null3"/>
              <w:ind w:firstLine="452"/>
              <w:jc w:val="left"/>
            </w:pPr>
            <w:r>
              <w:rPr>
                <w:rFonts w:ascii="仿宋_GB2312" w:hAnsi="仿宋_GB2312" w:cs="仿宋_GB2312" w:eastAsia="仿宋_GB2312"/>
                <w:sz w:val="24"/>
              </w:rPr>
              <w:t>（二）、其他说明</w:t>
            </w:r>
          </w:p>
          <w:p>
            <w:pPr>
              <w:pStyle w:val="null3"/>
              <w:ind w:firstLine="452"/>
              <w:jc w:val="left"/>
            </w:pPr>
            <w:r>
              <w:rPr>
                <w:rFonts w:ascii="仿宋_GB2312" w:hAnsi="仿宋_GB2312" w:cs="仿宋_GB2312" w:eastAsia="仿宋_GB2312"/>
                <w:sz w:val="24"/>
              </w:rPr>
              <w:t>1、该招标最高限价为含增值税工程造价；</w:t>
            </w:r>
          </w:p>
          <w:p>
            <w:pPr>
              <w:pStyle w:val="null3"/>
              <w:ind w:firstLine="452"/>
              <w:jc w:val="left"/>
            </w:pPr>
            <w:r>
              <w:rPr>
                <w:rFonts w:ascii="仿宋_GB2312" w:hAnsi="仿宋_GB2312" w:cs="仿宋_GB2312" w:eastAsia="仿宋_GB2312"/>
                <w:sz w:val="24"/>
              </w:rPr>
              <w:t>2、编制软件：采用广联达云计价平台 GCCP7.0，内核版本： 7.5000.23.2。</w:t>
            </w:r>
          </w:p>
          <w:p>
            <w:pPr>
              <w:pStyle w:val="null3"/>
            </w:pPr>
            <w:r>
              <w:rPr>
                <w:rFonts w:ascii="仿宋_GB2312" w:hAnsi="仿宋_GB2312" w:cs="仿宋_GB2312" w:eastAsia="仿宋_GB2312"/>
                <w:sz w:val="24"/>
              </w:rPr>
              <w:t>六</w:t>
            </w:r>
            <w:r>
              <w:rPr>
                <w:rFonts w:ascii="仿宋_GB2312" w:hAnsi="仿宋_GB2312" w:cs="仿宋_GB2312" w:eastAsia="仿宋_GB2312"/>
                <w:sz w:val="24"/>
              </w:rPr>
              <w:t>、施工要求</w:t>
            </w:r>
          </w:p>
          <w:p>
            <w:pPr>
              <w:pStyle w:val="null3"/>
            </w:pPr>
            <w:r>
              <w:rPr>
                <w:rFonts w:ascii="仿宋_GB2312" w:hAnsi="仿宋_GB2312" w:cs="仿宋_GB2312" w:eastAsia="仿宋_GB2312"/>
                <w:sz w:val="24"/>
              </w:rPr>
              <w:t>在施工期间，中标供应商必须注意人员安全，加强安全措施，并定期对施工人员进行安全教育，且施工人员必须持证上岗。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满足磋商文件、图纸、工程量清单的全部内容。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2、本项目属性：工程类；本项目采购标的所属行业为：建筑业。（按照《工信部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3、成交供应商在成交结果发布后3个工作日内无偿向代理机构提供纸质版响应文件二套，电子U盘二个（U盘内容包括Word版本、与系统上传后导出完全一致的PDF版响应文件）。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 （2）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供应商须具备建设行政主管部门颁发的市政公用工程施工总承包三级（含三级）以上资质，且具备有效的安全生产许可证；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拟派项目经理具备市政公用工程二级及以上注册建造师证书和安全生产考核合格证（B证），在本单位注册且无在建工程（提供无在建工程承诺书）；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供应商及拟派项目经理基本信息备案</w:t>
            </w:r>
          </w:p>
        </w:tc>
        <w:tc>
          <w:tcPr>
            <w:tcW w:type="dxa" w:w="3322"/>
          </w:tcPr>
          <w:p>
            <w:pPr>
              <w:pStyle w:val="null3"/>
            </w:pPr>
            <w:r>
              <w:rPr>
                <w:rFonts w:ascii="仿宋_GB2312" w:hAnsi="仿宋_GB2312" w:cs="仿宋_GB2312" w:eastAsia="仿宋_GB2312"/>
              </w:rPr>
              <w:t>供应商及拟派项目经理基本信息应在“陕西省住房和城乡建设厅网站（http://js.shaanxi.gov.cn/）陕西省建筑市场监管与诚信信息发布平台”可查询；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（1）响应文件的签署盖章：与所投项目名称、项目编号一致，且符合磋商文件签署盖章要求； （2）响应文件格式：符合磋商文件“第七章 响应文件格式”的规定 ； （3）报价唯一：只能有一个有效报价，不得提交选择性报价，且报价不超过磋商文件规定的采购预算金额及最高限价。</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供应商拒绝政府采购领域商业贿赂承诺书.docx 响应函 资格证明文件.docx 施工组织设计.docx 监狱企业的证明文件 技术、服务、合同条款及其他商务要求应答表.docx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施工组织设计.docx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工程质量、质保期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施工组织设计.docx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施工部署及准备</w:t>
            </w:r>
          </w:p>
        </w:tc>
        <w:tc>
          <w:tcPr>
            <w:tcW w:type="dxa" w:w="2492"/>
          </w:tcPr>
          <w:p>
            <w:pPr>
              <w:pStyle w:val="null3"/>
            </w:pPr>
            <w:r>
              <w:rPr>
                <w:rFonts w:ascii="仿宋_GB2312" w:hAnsi="仿宋_GB2312" w:cs="仿宋_GB2312" w:eastAsia="仿宋_GB2312"/>
              </w:rPr>
              <w:t>供应商针对本项目编制完善的施工部署及准备；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分部分项施工方法</w:t>
            </w:r>
          </w:p>
        </w:tc>
        <w:tc>
          <w:tcPr>
            <w:tcW w:type="dxa" w:w="2492"/>
          </w:tcPr>
          <w:p>
            <w:pPr>
              <w:pStyle w:val="null3"/>
            </w:pPr>
            <w:r>
              <w:rPr>
                <w:rFonts w:ascii="仿宋_GB2312" w:hAnsi="仿宋_GB2312" w:cs="仿宋_GB2312" w:eastAsia="仿宋_GB2312"/>
              </w:rPr>
              <w:t>供应商针对本项目编制完善的分部分项施工方法；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确保项目质量的技术组织措施</w:t>
            </w:r>
          </w:p>
        </w:tc>
        <w:tc>
          <w:tcPr>
            <w:tcW w:type="dxa" w:w="2492"/>
          </w:tcPr>
          <w:p>
            <w:pPr>
              <w:pStyle w:val="null3"/>
            </w:pPr>
            <w:r>
              <w:rPr>
                <w:rFonts w:ascii="仿宋_GB2312" w:hAnsi="仿宋_GB2312" w:cs="仿宋_GB2312" w:eastAsia="仿宋_GB2312"/>
              </w:rPr>
              <w:t>针对本项目有确保项目质量的技术组织措施；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针对本项目有切实可行的确保安全施工的技术组织措施；①措施内容全面、具体、科学，可行性强，得6分；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针对本项目有具体、可行的文明施工的技术组织措施；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确保环境保护的技术组织措施</w:t>
            </w:r>
          </w:p>
        </w:tc>
        <w:tc>
          <w:tcPr>
            <w:tcW w:type="dxa" w:w="2492"/>
          </w:tcPr>
          <w:p>
            <w:pPr>
              <w:pStyle w:val="null3"/>
            </w:pPr>
            <w:r>
              <w:rPr>
                <w:rFonts w:ascii="仿宋_GB2312" w:hAnsi="仿宋_GB2312" w:cs="仿宋_GB2312" w:eastAsia="仿宋_GB2312"/>
              </w:rPr>
              <w:t>针对本项目有具体、可行的环境保护的技术组织措施（包含治污减霾措施）；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针对本项目有具体、可行的确保工期的技术组织措施；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根据本项目的具体情况，设置合理的进度控制点，制定周到、全面、具体的进度计划，能够充分考虑计划，均衡资源，满足工期和质量。 ①进度计划全面、科学、合理性强，得6分； ②进度计划相对全面、科学、合理性较强，得5分； ③进度计划基本全面、较科学、有一定的合理性，得4分； ④进度计划不够全面、科学、合理性相对较弱，得3分； ⑤进度计划笼统，合理性有待考究的，得2分； ⑥进度计划不全面、科学、合理性较差，得1分；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拟投入的主要设备及劳动力配备情况</w:t>
            </w:r>
          </w:p>
        </w:tc>
        <w:tc>
          <w:tcPr>
            <w:tcW w:type="dxa" w:w="2492"/>
          </w:tcPr>
          <w:p>
            <w:pPr>
              <w:pStyle w:val="null3"/>
            </w:pPr>
            <w:r>
              <w:rPr>
                <w:rFonts w:ascii="仿宋_GB2312" w:hAnsi="仿宋_GB2312" w:cs="仿宋_GB2312" w:eastAsia="仿宋_GB2312"/>
              </w:rPr>
              <w:t>①针对本项目拟投入的主要设备及劳动力配备情况，充足、完备、先进、可行的，得6分； ②针对本项目拟投入的主要设备及劳动力配备情况，较为先进、合理可行，得5分； ③针对本项目拟投入的主要设备及劳动力配备情况，相对先进、相对合理可行，得4分； ④针对本项目拟投入的主要设备及劳动力配备情况、设备及劳动力配备，较先进、基本合理可行，得3分； ⑤针对本项目拟投入的主要设备及劳动力配备情况，不够合理可行，得2分； ⑥针对本项目拟投入的主要设备及劳动力配备情况，不合理，需在采购人要求下完善后才能实施的，得1分；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项目管理机构组成</w:t>
            </w:r>
          </w:p>
        </w:tc>
        <w:tc>
          <w:tcPr>
            <w:tcW w:type="dxa" w:w="2492"/>
          </w:tcPr>
          <w:p>
            <w:pPr>
              <w:pStyle w:val="null3"/>
            </w:pPr>
            <w:r>
              <w:rPr>
                <w:rFonts w:ascii="仿宋_GB2312" w:hAnsi="仿宋_GB2312" w:cs="仿宋_GB2312" w:eastAsia="仿宋_GB2312"/>
              </w:rPr>
              <w:t>项目管理机构组织结构合理，技术人员配置（专职安全员、施工员、资料员、质量员、材料员等）齐全，责任明确；①针对本项目拟投入项目经理部组成人员结构合理，人员配备齐全，责任明确，佐证材料齐全得6分； ②针对本项目拟投入项目经理部组成人员结构相对合理，人员配备相对齐全，责任相对明确，有相关佐证材料得5分； ③针对本项目拟投入项目经理部组成人员结构基本合理，人员配备基本齐全，责任基本明确，有相关佐证材料得4分； ④针对本项目拟投入项目经理部组成人员结构不够合理，人员配备不够齐全，责任不太明确，相关佐证材料缺失得3分； ⑤针对本项目拟投入项目经理部组成人员内容笼统，可行性有待考究的，得2分； ⑥针对本项目拟投入项目经理部组成人员结构不合理，人员配备不齐全，责任不明确，相关佐证材料缺失得1分；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包括工程维修服务承诺、保修措施和响应时限、发生质量问题后的补救措施。 ①针对本项目的质量保修承诺，响应全面完整，描述详细，步骤清晰；可实施性强，紧扣项目实际情况的得4分； ②针对本项目的质量保修承诺，响应基本完整、可行，描述有轻微缺陷但不影响具体实施的得3分； ③针对本项目的质量保修承诺，内容不够合理、可行，不能满足项目要求的得2分； ④针对本项目的质量保修承诺，内容差且不切合实际情况的得1分； ⑤无内容不得分。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提供2023年1月1日至截标时间前类似项目业绩（以合同或中标通知书为准，须在磋商响应文件中附以上证明材料的扫描件加盖单位公章，每份合格业绩计2分，满分6分。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