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版本号：HYDZB202600620260403003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西气东输三线中段(中卫-吉安)项目中卫-枣阳段渭河穿越生态修复工程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HYDZB2026006</w:t>
      </w:r>
      <w:r>
        <w:br/>
      </w:r>
      <w:r>
        <w:br/>
      </w:r>
      <w:r>
        <w:br/>
      </w:r>
    </w:p>
    <w:p>
      <w:pPr>
        <w:pStyle w:val="null3"/>
        <w:jc w:val="center"/>
        <w:outlineLvl w:val="2"/>
      </w:pPr>
      <w:r>
        <w:rPr>
          <w:rFonts w:ascii="仿宋_GB2312" w:hAnsi="仿宋_GB2312" w:cs="仿宋_GB2312" w:eastAsia="仿宋_GB2312"/>
          <w:sz w:val="28"/>
          <w:b/>
        </w:rPr>
        <w:t>西安市临潼区治理渭河管理站</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西安市临潼区治理渭河管理站</w:t>
      </w:r>
      <w:r>
        <w:rPr>
          <w:rFonts w:ascii="仿宋_GB2312" w:hAnsi="仿宋_GB2312" w:cs="仿宋_GB2312" w:eastAsia="仿宋_GB2312"/>
        </w:rPr>
        <w:t>委托，拟对</w:t>
      </w:r>
      <w:r>
        <w:rPr>
          <w:rFonts w:ascii="仿宋_GB2312" w:hAnsi="仿宋_GB2312" w:cs="仿宋_GB2312" w:eastAsia="仿宋_GB2312"/>
        </w:rPr>
        <w:t>西气东输三线中段(中卫-吉安)项目中卫-枣阳段渭河穿越生态修复工程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HYDZB2026006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西气东输三线中段(中卫-吉安)项目中卫-枣阳段渭河穿越生态修复工程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本项目生态修复根据临潼区地方特性设计栽植乔木灌木，并在下方植草进行植被恢复，打造兼具生态功能绿色生态廊道，对现有绿化设施进行提升改造。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采购包1（西气东输三线中段(中卫-吉安)项目中卫-枣阳段渭河 穿越生态修复工程）：属于专门面向中小企业采购。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1、营业执照：供应商应是中华人民共和国境内合法注册的法人或其他组织,并出具合法有效的营业执照；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法人授权委托书后附法人及被委托人身份证，法人证明书后附法定代表人身份证；（法定代表人直接参加开标的只需提供法人代表证明书）</w:t>
      </w:r>
    </w:p>
    <w:p>
      <w:pPr>
        <w:pStyle w:val="null3"/>
      </w:pPr>
      <w:r>
        <w:rPr>
          <w:rFonts w:ascii="仿宋_GB2312" w:hAnsi="仿宋_GB2312" w:cs="仿宋_GB2312" w:eastAsia="仿宋_GB2312"/>
        </w:rPr>
        <w:t>3、供应商资质：供应商须具备市政公用工程施工总承包三级及以上资质，且具有有效的安全生产许可证；</w:t>
      </w:r>
    </w:p>
    <w:p>
      <w:pPr>
        <w:pStyle w:val="null3"/>
      </w:pPr>
      <w:r>
        <w:rPr>
          <w:rFonts w:ascii="仿宋_GB2312" w:hAnsi="仿宋_GB2312" w:cs="仿宋_GB2312" w:eastAsia="仿宋_GB2312"/>
        </w:rPr>
        <w:t>4、项目经理：拟派项目经理具备市政公用工程专业【注册建造师二级】及以上执业资格和有效的安全生产考核合格B证，在本单位注册，且未担任其他在建工程的项目经理；</w:t>
      </w:r>
    </w:p>
    <w:p>
      <w:pPr>
        <w:pStyle w:val="null3"/>
      </w:pPr>
      <w:r>
        <w:rPr>
          <w:rFonts w:ascii="仿宋_GB2312" w:hAnsi="仿宋_GB2312" w:cs="仿宋_GB2312" w:eastAsia="仿宋_GB2312"/>
        </w:rPr>
        <w:t>5、基本条件承诺：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任意税种），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 供应商未被“信用中国”网站(www.sr&amp;mtchin8.gov.&amp;)列入失信被执行人和重大税收违法失信主体，未被中国政府采购网(www.cc.gov.sn)列入政府采购严重违法失信行为记录名单；</w:t>
      </w:r>
    </w:p>
    <w:p>
      <w:pPr>
        <w:pStyle w:val="null3"/>
      </w:pPr>
      <w:r>
        <w:rPr>
          <w:rFonts w:ascii="仿宋_GB2312" w:hAnsi="仿宋_GB2312" w:cs="仿宋_GB2312" w:eastAsia="仿宋_GB2312"/>
        </w:rPr>
        <w:t>6、控股管理关系：单位负责人为同一人或者存在直接控股、管理关系的不同供应商，不得参加同一合同项下的投标活动。</w:t>
      </w:r>
    </w:p>
    <w:p>
      <w:pPr>
        <w:pStyle w:val="null3"/>
      </w:pPr>
      <w:r>
        <w:rPr>
          <w:rFonts w:ascii="仿宋_GB2312" w:hAnsi="仿宋_GB2312" w:cs="仿宋_GB2312" w:eastAsia="仿宋_GB2312"/>
        </w:rPr>
        <w:t>7、不接受联合体：本项目不接受联合体投标。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西安市临潼区治理渭河管理站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西安市临潼区京昆线富源馨苑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临潼区治理渭河管理站经办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13679266984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陕西省西安市临潼区秦陵南路20号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邓钰春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采购包1：1,727,723.54元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号）规定的费率标准计算招标代理服务费。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西安市临潼区治理渭河管理站</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西安市临潼区治理渭河管理站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西安市临潼区治理渭河管理站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陕西恒益鼎工程项目管理有限公司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具体内容按合同相关条款约定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联系人：陕西恒益鼎工程项目管理有限公司</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地址：陕西省西安市临潼区秦陵南路20号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1,727,723.54</w:t>
      </w:r>
    </w:p>
    <w:p>
      <w:pPr>
        <w:pStyle w:val="null3"/>
      </w:pPr>
      <w:r>
        <w:rPr>
          <w:rFonts w:ascii="仿宋_GB2312" w:hAnsi="仿宋_GB2312" w:cs="仿宋_GB2312" w:eastAsia="仿宋_GB2312"/>
        </w:rPr>
        <w:t>采购包最高限价（元）: 1,727,717.85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西气东输三线中段(中卫-吉安)项目中卫-枣阳段渭河穿越生态修复工程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1,727,723.54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标的名称：西气东输三线中段(中卫-吉安)项目中卫-枣阳段渭河穿越生态修复工程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b/>
                <w:color w:val="000000"/>
              </w:rPr>
              <w:t>一、工程内容和施工地点、计划工期、质量标准</w:t>
            </w:r>
          </w:p>
          <w:p>
            <w:pPr>
              <w:pStyle w:val="null3"/>
              <w:ind w:firstLine="480"/>
              <w:jc w:val="both"/>
            </w:pPr>
            <w:r>
              <w:rPr>
                <w:rFonts w:ascii="仿宋_GB2312" w:hAnsi="仿宋_GB2312" w:cs="仿宋_GB2312" w:eastAsia="仿宋_GB2312"/>
                <w:sz w:val="24"/>
                <w:color w:val="000000"/>
              </w:rPr>
              <w:t>（一）工程内容：西气东输三线中段</w:t>
            </w:r>
            <w:r>
              <w:rPr>
                <w:rFonts w:ascii="仿宋_GB2312" w:hAnsi="仿宋_GB2312" w:cs="仿宋_GB2312" w:eastAsia="仿宋_GB2312"/>
                <w:sz w:val="24"/>
                <w:color w:val="000000"/>
              </w:rPr>
              <w:t>(中卫-吉安)项目中卫-枣阳段渭河穿越生态修复工程内容包括：栽植女贞树1320株、榆叶梅球6600株，种植面积1.32hm²；乔木及灌木下方通过植草措施进行植被恢复，草种选择麦冬和黑麦草按1:1混播，撒播量50g/m²，植草面积1.32hm²。</w:t>
            </w:r>
          </w:p>
          <w:p>
            <w:pPr>
              <w:pStyle w:val="null3"/>
              <w:ind w:firstLine="480"/>
              <w:jc w:val="both"/>
            </w:pPr>
            <w:r>
              <w:rPr>
                <w:rFonts w:ascii="仿宋_GB2312" w:hAnsi="仿宋_GB2312" w:cs="仿宋_GB2312" w:eastAsia="仿宋_GB2312"/>
                <w:sz w:val="24"/>
                <w:color w:val="000000"/>
              </w:rPr>
              <w:t>本次采购范围</w:t>
            </w:r>
            <w:r>
              <w:rPr>
                <w:rFonts w:ascii="仿宋_GB2312" w:hAnsi="仿宋_GB2312" w:cs="仿宋_GB2312" w:eastAsia="仿宋_GB2312"/>
                <w:sz w:val="24"/>
                <w:color w:val="000000"/>
              </w:rPr>
              <w:t>包括但不限于苗木起挖、运输、栽植、浇水、施肥、病虫害防治，以及</w:t>
            </w:r>
            <w:r>
              <w:rPr>
                <w:rFonts w:ascii="仿宋_GB2312" w:hAnsi="仿宋_GB2312" w:cs="仿宋_GB2312" w:eastAsia="仿宋_GB2312"/>
                <w:sz w:val="24"/>
                <w:color w:val="000000"/>
              </w:rPr>
              <w:t>栽植</w:t>
            </w:r>
            <w:r>
              <w:rPr>
                <w:rFonts w:ascii="仿宋_GB2312" w:hAnsi="仿宋_GB2312" w:cs="仿宋_GB2312" w:eastAsia="仿宋_GB2312"/>
                <w:sz w:val="24"/>
                <w:color w:val="000000"/>
              </w:rPr>
              <w:t>前的土壤整理、杂草清除、地形修整等相关辅助工作，确保工程整体效果</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（二）工程地点：</w:t>
            </w:r>
            <w:r>
              <w:rPr>
                <w:rFonts w:ascii="仿宋_GB2312" w:hAnsi="仿宋_GB2312" w:cs="仿宋_GB2312" w:eastAsia="仿宋_GB2312"/>
                <w:sz w:val="24"/>
                <w:color w:val="000000"/>
              </w:rPr>
              <w:t>临潼堤防左岸</w:t>
            </w:r>
            <w:r>
              <w:rPr>
                <w:rFonts w:ascii="仿宋_GB2312" w:hAnsi="仿宋_GB2312" w:cs="仿宋_GB2312" w:eastAsia="仿宋_GB2312"/>
                <w:sz w:val="24"/>
                <w:color w:val="000000"/>
              </w:rPr>
              <w:t>L216+50~L224+220。</w:t>
            </w:r>
          </w:p>
          <w:p>
            <w:pPr>
              <w:pStyle w:val="null3"/>
              <w:ind w:firstLine="480"/>
              <w:jc w:val="left"/>
            </w:pPr>
            <w:r>
              <w:rPr>
                <w:rFonts w:ascii="仿宋_GB2312" w:hAnsi="仿宋_GB2312" w:cs="仿宋_GB2312" w:eastAsia="仿宋_GB2312"/>
                <w:sz w:val="24"/>
                <w:color w:val="000000"/>
              </w:rPr>
              <w:t>（三）计划工期：合同</w:t>
            </w:r>
            <w:r>
              <w:rPr>
                <w:rFonts w:ascii="仿宋_GB2312" w:hAnsi="仿宋_GB2312" w:cs="仿宋_GB2312" w:eastAsia="仿宋_GB2312"/>
                <w:sz w:val="24"/>
                <w:color w:val="000000"/>
              </w:rPr>
              <w:t>签订之日起</w:t>
            </w:r>
            <w:r>
              <w:rPr>
                <w:rFonts w:ascii="仿宋_GB2312" w:hAnsi="仿宋_GB2312" w:cs="仿宋_GB2312" w:eastAsia="仿宋_GB2312"/>
                <w:sz w:val="24"/>
                <w:color w:val="000000"/>
              </w:rPr>
              <w:t>30日历天，养护期1年。</w:t>
            </w:r>
          </w:p>
          <w:p>
            <w:pPr>
              <w:pStyle w:val="null3"/>
              <w:ind w:firstLine="480"/>
              <w:jc w:val="both"/>
            </w:pPr>
            <w:r>
              <w:rPr>
                <w:rFonts w:ascii="仿宋_GB2312" w:hAnsi="仿宋_GB2312" w:cs="仿宋_GB2312" w:eastAsia="仿宋_GB2312"/>
                <w:sz w:val="24"/>
                <w:color w:val="000000"/>
              </w:rPr>
              <w:t>（四）质量标准：达到国家现行施工质量验收规范</w:t>
            </w:r>
            <w:r>
              <w:rPr>
                <w:rFonts w:ascii="仿宋_GB2312" w:hAnsi="仿宋_GB2312" w:cs="仿宋_GB2312" w:eastAsia="仿宋_GB2312"/>
                <w:sz w:val="24"/>
                <w:color w:val="000000"/>
              </w:rPr>
              <w:t>“合格”标</w:t>
            </w:r>
            <w:r>
              <w:rPr>
                <w:rFonts w:ascii="仿宋_GB2312" w:hAnsi="仿宋_GB2312" w:cs="仿宋_GB2312" w:eastAsia="仿宋_GB2312"/>
                <w:sz w:val="24"/>
                <w:color w:val="000000"/>
              </w:rPr>
              <w:t>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color w:val="000000"/>
              </w:rPr>
              <w:t>二、工程量</w:t>
            </w:r>
            <w:r>
              <w:rPr>
                <w:rFonts w:ascii="仿宋_GB2312" w:hAnsi="仿宋_GB2312" w:cs="仿宋_GB2312" w:eastAsia="仿宋_GB2312"/>
                <w:sz w:val="24"/>
                <w:b/>
                <w:color w:val="000000"/>
              </w:rPr>
              <w:t>清单和计价依据</w:t>
            </w:r>
          </w:p>
          <w:p>
            <w:pPr>
              <w:pStyle w:val="null3"/>
              <w:ind w:firstLine="480"/>
              <w:jc w:val="left"/>
            </w:pPr>
            <w:r>
              <w:rPr>
                <w:rFonts w:ascii="仿宋_GB2312" w:hAnsi="仿宋_GB2312" w:cs="仿宋_GB2312" w:eastAsia="仿宋_GB2312"/>
                <w:sz w:val="24"/>
                <w:color w:val="000000"/>
              </w:rPr>
              <w:t>详见工程量清单。</w:t>
            </w:r>
          </w:p>
          <w:p>
            <w:pPr>
              <w:pStyle w:val="null3"/>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b/>
                <w:color w:val="000000"/>
              </w:rPr>
              <w:t>三、养护标准</w:t>
            </w:r>
          </w:p>
          <w:p>
            <w:pPr>
              <w:pStyle w:val="null3"/>
              <w:ind w:firstLine="480"/>
              <w:jc w:val="both"/>
            </w:pPr>
            <w:r>
              <w:rPr>
                <w:rFonts w:ascii="仿宋_GB2312" w:hAnsi="仿宋_GB2312" w:cs="仿宋_GB2312" w:eastAsia="仿宋_GB2312"/>
                <w:sz w:val="24"/>
                <w:color w:val="000000"/>
              </w:rPr>
              <w:t>1、乔木、灌木绿化带</w:t>
            </w:r>
          </w:p>
          <w:p>
            <w:pPr>
              <w:pStyle w:val="null3"/>
              <w:ind w:firstLine="480"/>
              <w:jc w:val="both"/>
            </w:pPr>
            <w:r>
              <w:rPr>
                <w:rFonts w:ascii="仿宋_GB2312" w:hAnsi="仿宋_GB2312" w:cs="仿宋_GB2312" w:eastAsia="仿宋_GB2312"/>
                <w:sz w:val="24"/>
                <w:color w:val="000000"/>
              </w:rPr>
              <w:t>1)绿化带整体整齐美观，同</w:t>
            </w:r>
            <w:r>
              <w:rPr>
                <w:rFonts w:ascii="仿宋_GB2312" w:hAnsi="仿宋_GB2312" w:cs="仿宋_GB2312" w:eastAsia="仿宋_GB2312"/>
                <w:sz w:val="24"/>
                <w:color w:val="000000"/>
              </w:rPr>
              <w:t>树种株距统一，树木无枯枝、无病虫害，苗木存活率：乔木类</w:t>
            </w:r>
            <w:r>
              <w:rPr>
                <w:rFonts w:ascii="仿宋_GB2312" w:hAnsi="仿宋_GB2312" w:cs="仿宋_GB2312" w:eastAsia="仿宋_GB2312"/>
                <w:sz w:val="24"/>
                <w:color w:val="000000"/>
              </w:rPr>
              <w:t>≥95%，灌木类≥90%。</w:t>
            </w:r>
          </w:p>
          <w:p>
            <w:pPr>
              <w:pStyle w:val="null3"/>
              <w:ind w:firstLine="480"/>
              <w:jc w:val="both"/>
            </w:pPr>
            <w:r>
              <w:rPr>
                <w:rFonts w:ascii="仿宋_GB2312" w:hAnsi="仿宋_GB2312" w:cs="仿宋_GB2312" w:eastAsia="仿宋_GB2312"/>
                <w:sz w:val="24"/>
                <w:color w:val="000000"/>
              </w:rPr>
              <w:t>2)根据天气情况和土壤水分状况以及苗木本身的需水量，适时浇水。</w:t>
            </w:r>
          </w:p>
          <w:p>
            <w:pPr>
              <w:pStyle w:val="null3"/>
              <w:ind w:firstLine="480"/>
              <w:jc w:val="both"/>
            </w:pPr>
            <w:r>
              <w:rPr>
                <w:rFonts w:ascii="仿宋_GB2312" w:hAnsi="仿宋_GB2312" w:cs="仿宋_GB2312" w:eastAsia="仿宋_GB2312"/>
                <w:sz w:val="24"/>
                <w:color w:val="000000"/>
              </w:rPr>
              <w:t>3)缓苗过程结束后苗木开始生长，适当追施肥料，中耕除草</w:t>
            </w:r>
          </w:p>
          <w:p>
            <w:pPr>
              <w:pStyle w:val="null3"/>
              <w:ind w:firstLine="480"/>
              <w:jc w:val="both"/>
            </w:pPr>
            <w:r>
              <w:rPr>
                <w:rFonts w:ascii="仿宋_GB2312" w:hAnsi="仿宋_GB2312" w:cs="仿宋_GB2312" w:eastAsia="仿宋_GB2312"/>
                <w:sz w:val="24"/>
                <w:color w:val="000000"/>
              </w:rPr>
              <w:t>4)经常巡逻值班，防止盗苗，发现死苗或缺苗，及时补栽。</w:t>
            </w:r>
          </w:p>
          <w:p>
            <w:pPr>
              <w:pStyle w:val="null3"/>
              <w:ind w:firstLine="480"/>
              <w:jc w:val="both"/>
            </w:pPr>
            <w:r>
              <w:rPr>
                <w:rFonts w:ascii="仿宋_GB2312" w:hAnsi="仿宋_GB2312" w:cs="仿宋_GB2312" w:eastAsia="仿宋_GB2312"/>
                <w:sz w:val="24"/>
                <w:color w:val="000000"/>
              </w:rPr>
              <w:t>5)根据病虫害发生情况，适时对苗木进行病虫害防治。</w:t>
            </w:r>
          </w:p>
          <w:p>
            <w:pPr>
              <w:pStyle w:val="null3"/>
              <w:ind w:firstLine="480"/>
              <w:jc w:val="both"/>
            </w:pPr>
            <w:r>
              <w:rPr>
                <w:rFonts w:ascii="仿宋_GB2312" w:hAnsi="仿宋_GB2312" w:cs="仿宋_GB2312" w:eastAsia="仿宋_GB2312"/>
                <w:sz w:val="24"/>
                <w:color w:val="000000"/>
              </w:rPr>
              <w:t>6)冬季封冻前浇足冻水，并清理苗木附近杂草防火灾毁苗。</w:t>
            </w:r>
          </w:p>
          <w:p>
            <w:pPr>
              <w:pStyle w:val="null3"/>
              <w:ind w:firstLine="480"/>
              <w:jc w:val="both"/>
            </w:pPr>
            <w:r>
              <w:rPr>
                <w:rFonts w:ascii="仿宋_GB2312" w:hAnsi="仿宋_GB2312" w:cs="仿宋_GB2312" w:eastAsia="仿宋_GB2312"/>
                <w:sz w:val="24"/>
                <w:color w:val="000000"/>
              </w:rPr>
              <w:t>2、地被草坪</w:t>
            </w:r>
          </w:p>
          <w:p>
            <w:pPr>
              <w:pStyle w:val="null3"/>
              <w:ind w:firstLine="480"/>
              <w:jc w:val="both"/>
            </w:pPr>
            <w:r>
              <w:rPr>
                <w:rFonts w:ascii="仿宋_GB2312" w:hAnsi="仿宋_GB2312" w:cs="仿宋_GB2312" w:eastAsia="仿宋_GB2312"/>
                <w:sz w:val="24"/>
                <w:color w:val="000000"/>
              </w:rPr>
              <w:t>1)按草种生长特性及时修剪，草高控制在10cm以内，草坪内无杂草；树坑、花坛边缘切边整齐，线条清晰，草坪整体整洁美观。</w:t>
            </w:r>
          </w:p>
          <w:p>
            <w:pPr>
              <w:pStyle w:val="null3"/>
              <w:ind w:firstLine="480"/>
              <w:jc w:val="both"/>
            </w:pPr>
            <w:r>
              <w:rPr>
                <w:rFonts w:ascii="仿宋_GB2312" w:hAnsi="仿宋_GB2312" w:cs="仿宋_GB2312" w:eastAsia="仿宋_GB2312"/>
                <w:sz w:val="24"/>
                <w:color w:val="000000"/>
              </w:rPr>
              <w:t>2）地被草坪成活率≥85</w:t>
            </w:r>
            <w:r>
              <w:rPr>
                <w:rFonts w:ascii="仿宋_GB2312" w:hAnsi="仿宋_GB2312" w:cs="仿宋_GB2312" w:eastAsia="仿宋_GB2312"/>
                <w:sz w:val="24"/>
                <w:color w:val="000000"/>
              </w:rPr>
              <w:t>%，单块裸露面积小于20cm²</w:t>
            </w:r>
            <w:r>
              <w:rPr>
                <w:rFonts w:ascii="仿宋_GB2312" w:hAnsi="仿宋_GB2312" w:cs="仿宋_GB2312" w:eastAsia="仿宋_GB2312"/>
                <w:sz w:val="24"/>
                <w:color w:val="000000"/>
              </w:rPr>
              <w:t>，无大面积枯黄、长势衰退现象。</w:t>
            </w:r>
          </w:p>
          <w:p>
            <w:pPr>
              <w:pStyle w:val="null3"/>
              <w:ind w:firstLine="482"/>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82"/>
              <w:jc w:val="left"/>
            </w:pPr>
            <w:r>
              <w:rPr>
                <w:rFonts w:ascii="仿宋_GB2312" w:hAnsi="仿宋_GB2312" w:cs="仿宋_GB2312" w:eastAsia="仿宋_GB2312"/>
                <w:sz w:val="24"/>
                <w:b/>
                <w:color w:val="000000"/>
              </w:rPr>
              <w:t>四、款项结算</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合同签订生效后，进度款按工程实际进度支付</w:t>
            </w:r>
            <w:r>
              <w:rPr>
                <w:rFonts w:ascii="仿宋_GB2312" w:hAnsi="仿宋_GB2312" w:cs="仿宋_GB2312" w:eastAsia="仿宋_GB2312"/>
                <w:sz w:val="24"/>
                <w:color w:val="000000"/>
              </w:rPr>
              <w:t>，</w:t>
            </w:r>
            <w:r>
              <w:rPr>
                <w:rFonts w:ascii="仿宋_GB2312" w:hAnsi="仿宋_GB2312" w:cs="仿宋_GB2312" w:eastAsia="仿宋_GB2312"/>
                <w:sz w:val="24"/>
                <w:color w:val="000000"/>
              </w:rPr>
              <w:t>15个工作日内，</w:t>
            </w:r>
            <w:r>
              <w:rPr>
                <w:rFonts w:ascii="仿宋_GB2312" w:hAnsi="仿宋_GB2312" w:cs="仿宋_GB2312" w:eastAsia="仿宋_GB2312"/>
                <w:sz w:val="24"/>
                <w:color w:val="000000"/>
              </w:rPr>
              <w:t>支付至合同价的</w:t>
            </w:r>
            <w:r>
              <w:rPr>
                <w:rFonts w:ascii="仿宋_GB2312" w:hAnsi="仿宋_GB2312" w:cs="仿宋_GB2312" w:eastAsia="仿宋_GB2312"/>
                <w:sz w:val="24"/>
                <w:color w:val="000000"/>
              </w:rPr>
              <w:t>60%后暂停支付；</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全部绿化种植施工完毕，且达到设计初步景观效果后，</w:t>
            </w:r>
            <w:r>
              <w:rPr>
                <w:rFonts w:ascii="仿宋_GB2312" w:hAnsi="仿宋_GB2312" w:cs="仿宋_GB2312" w:eastAsia="仿宋_GB2312"/>
                <w:sz w:val="24"/>
                <w:color w:val="000000"/>
              </w:rPr>
              <w:t>15个工作日内，支付至合同总金额的80%；</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工程完成初步验收合格后，</w:t>
            </w:r>
            <w:r>
              <w:rPr>
                <w:rFonts w:ascii="仿宋_GB2312" w:hAnsi="仿宋_GB2312" w:cs="仿宋_GB2312" w:eastAsia="仿宋_GB2312"/>
                <w:sz w:val="24"/>
                <w:color w:val="000000"/>
              </w:rPr>
              <w:t>15个工作日内支付至合同总金额的97%；</w:t>
            </w:r>
          </w:p>
          <w:p>
            <w:pPr>
              <w:pStyle w:val="null3"/>
            </w:pPr>
            <w:r>
              <w:rPr>
                <w:rFonts w:ascii="仿宋_GB2312" w:hAnsi="仿宋_GB2312" w:cs="仿宋_GB2312" w:eastAsia="仿宋_GB2312"/>
                <w:sz w:val="24"/>
                <w:color w:val="000000"/>
              </w:rPr>
              <w:t xml:space="preserve">  4</w:t>
            </w:r>
            <w:r>
              <w:rPr>
                <w:rFonts w:ascii="仿宋_GB2312" w:hAnsi="仿宋_GB2312" w:cs="仿宋_GB2312" w:eastAsia="仿宋_GB2312"/>
                <w:sz w:val="24"/>
                <w:color w:val="000000"/>
              </w:rPr>
              <w:t>.</w:t>
            </w:r>
            <w:r>
              <w:rPr>
                <w:rFonts w:ascii="仿宋_GB2312" w:hAnsi="仿宋_GB2312" w:cs="仿宋_GB2312" w:eastAsia="仿宋_GB2312"/>
                <w:sz w:val="24"/>
                <w:color w:val="000000"/>
              </w:rPr>
              <w:t>剩余</w:t>
            </w:r>
            <w:r>
              <w:rPr>
                <w:rFonts w:ascii="仿宋_GB2312" w:hAnsi="仿宋_GB2312" w:cs="仿宋_GB2312" w:eastAsia="仿宋_GB2312"/>
                <w:sz w:val="24"/>
                <w:color w:val="000000"/>
              </w:rPr>
              <w:t>3%作为工程保修金，养护期满且最终验收合格后，发包人无息退还全部保修金。</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4"/>
                <w:b/>
                <w:color w:val="000000"/>
              </w:rPr>
              <w:t>五、其他</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)对供应商的业绩要求</w:t>
            </w:r>
          </w:p>
          <w:p>
            <w:pPr>
              <w:pStyle w:val="null3"/>
              <w:ind w:firstLine="480"/>
              <w:jc w:val="left"/>
            </w:pPr>
            <w:r>
              <w:rPr>
                <w:rFonts w:ascii="仿宋_GB2312" w:hAnsi="仿宋_GB2312" w:cs="仿宋_GB2312" w:eastAsia="仿宋_GB2312"/>
                <w:sz w:val="24"/>
                <w:color w:val="000000"/>
              </w:rPr>
              <w:t>近三</w:t>
            </w:r>
            <w:r>
              <w:rPr>
                <w:rFonts w:ascii="仿宋_GB2312" w:hAnsi="仿宋_GB2312" w:cs="仿宋_GB2312" w:eastAsia="仿宋_GB2312"/>
                <w:sz w:val="24"/>
                <w:color w:val="000000"/>
              </w:rPr>
              <w:t>年（</w:t>
            </w:r>
            <w:r>
              <w:rPr>
                <w:rFonts w:ascii="仿宋_GB2312" w:hAnsi="仿宋_GB2312" w:cs="仿宋_GB2312" w:eastAsia="仿宋_GB2312"/>
                <w:sz w:val="24"/>
                <w:color w:val="000000"/>
              </w:rPr>
              <w:t>2023年1月1日至今）类似</w:t>
            </w:r>
            <w:r>
              <w:rPr>
                <w:rFonts w:ascii="仿宋_GB2312" w:hAnsi="仿宋_GB2312" w:cs="仿宋_GB2312" w:eastAsia="仿宋_GB2312"/>
                <w:sz w:val="24"/>
                <w:color w:val="000000"/>
              </w:rPr>
              <w:t>业绩</w:t>
            </w:r>
            <w:r>
              <w:rPr>
                <w:rFonts w:ascii="仿宋_GB2312" w:hAnsi="仿宋_GB2312" w:cs="仿宋_GB2312" w:eastAsia="仿宋_GB2312"/>
                <w:sz w:val="24"/>
                <w:color w:val="000000"/>
              </w:rPr>
              <w:t>(以合同协议书或中标通知书为准）。</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)质量验收标准或规范</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1）质量要求：达到国家及行业规定的绿化工程质量检验评定的“合格”标准，苗木的成活率：乔木类≥95%，灌木类≥90%，地被植物及草坪≥85%。</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2）验收方法：</w:t>
            </w:r>
            <w:r>
              <w:rPr>
                <w:rFonts w:ascii="仿宋_GB2312" w:hAnsi="仿宋_GB2312" w:cs="仿宋_GB2312" w:eastAsia="仿宋_GB2312"/>
                <w:sz w:val="24"/>
                <w:color w:val="000000"/>
              </w:rPr>
              <w:t>按园林绿化工程适用的规范或</w:t>
            </w:r>
            <w:r>
              <w:rPr>
                <w:rFonts w:ascii="仿宋_GB2312" w:hAnsi="仿宋_GB2312" w:cs="仿宋_GB2312" w:eastAsia="仿宋_GB2312"/>
                <w:sz w:val="24"/>
                <w:color w:val="000000"/>
              </w:rPr>
              <w:t>标准及其他相关的规范和标准执行。</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)违约责任</w:t>
            </w:r>
          </w:p>
          <w:p>
            <w:pPr>
              <w:pStyle w:val="null3"/>
              <w:ind w:firstLine="480"/>
              <w:jc w:val="left"/>
            </w:pPr>
            <w:r>
              <w:rPr>
                <w:rFonts w:ascii="仿宋_GB2312" w:hAnsi="仿宋_GB2312" w:cs="仿宋_GB2312" w:eastAsia="仿宋_GB2312"/>
                <w:sz w:val="24"/>
                <w:color w:val="000000"/>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w:t>
            </w:r>
            <w:r>
              <w:rPr>
                <w:rFonts w:ascii="仿宋_GB2312" w:hAnsi="仿宋_GB2312" w:cs="仿宋_GB2312" w:eastAsia="仿宋_GB2312"/>
                <w:sz w:val="24"/>
                <w:color w:val="000000"/>
              </w:rPr>
              <w:t>，</w:t>
            </w:r>
            <w:r>
              <w:rPr>
                <w:rFonts w:ascii="仿宋_GB2312" w:hAnsi="仿宋_GB2312" w:cs="仿宋_GB2312" w:eastAsia="仿宋_GB2312"/>
                <w:sz w:val="24"/>
                <w:color w:val="000000"/>
              </w:rPr>
              <w:t>可向人民法院提请诉讼。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文件正本壹份、副本贰份、电子版文件壹份（以U盘形式提供，电子版文件应包电子交易系统生成的文件、word版本投标文件等内容）。响应文件应放入文件袋内密封，袋上标明供应商名称并加盖公章。线下纸质文件递交截止时间同在线递交电子响应文件截止时间一致。线下纸质文件递交地点：西安市临潼区秦陵南路20号新华书店2楼201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供应商应是中华人民共和国境内合法注册的法人或其他组织,并出具合法有效的营业执照；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法人代表证明书或法人授权委托书，法人授权委托书后附法人及被委托人身份证，法人证明书后附法定代表人身份证；（法定代表人直接参加开标的只需提供法人代表证明书）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供应商须具备市政公用工程施工总承包三级及以上资质，且具有有效的安全生产许可证；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拟派项目经理具备市政公用工程专业【注册建造师二级】及以上执业资格和有效的安全生产考核合格B证，在本单位注册，且未担任其他在建工程的项目经理；</w:t>
            </w:r>
          </w:p>
        </w:tc>
        <w:tc>
          <w:tcPr>
            <w:tcW w:type="dxa" w:w="1661"/>
          </w:tcPr>
          <w:p>
            <w:pPr>
              <w:pStyle w:val="null3"/>
            </w:pPr>
            <w:r>
              <w:rPr>
                <w:rFonts w:ascii="仿宋_GB2312" w:hAnsi="仿宋_GB2312" w:cs="仿宋_GB2312" w:eastAsia="仿宋_GB2312"/>
              </w:rPr>
              <w:t>供应商应提交的相关资格证明材料.docx 项目管理机构组成表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基本条件承诺</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任意税种），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 供应商未被“信用中国”网站(www.sr&amp;mtchin8.gov.&amp;)列入失信被执行人和重大税收违法失信主体，未被中国政府采购网(www.cc.gov.sn)列入政府采购严重违法失信行为记录名单；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是否与营业执照及资质证书一致</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供应商应提交的相关资格证明材料.docx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投标文件上法定代表人或其授权代表人的签字、盖章齐全并加盖供应商公章</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供应商应提交的相关资格证明材料.docx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投标报价是否唯一，是否超过招标文件中规定的采购预算或最高限价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应满足招标文件中要求的工期</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施工方案内容至少包括：①施工准备；②施工部署；③施工方法；④重点难点工程分析及解决措施；⑤影响正常施工外在因素分析及对应预案等。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内容至少包括①质量管理工作流程；②工程质量保障方案；③工程质量控制体系；④材料和构配件的质量控制等；⑤施工检测及工序交验方案等；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内容至少包括①安全生产管理制度；②配置安全组织机构；③安全隐患排查、整改制度；④应急救援方案等。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 内容至少包括①文明施工及环境保护管理制度； ②防尘降噪措施；③节能减排措施；④治污减霾措施；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内容至少包括①施工总平面布置；②施工进度安排、施工进度表或施工网络图； ③工期目标控制和保证措施；④材料供应措施；⑤成品、半成品保护监管措施等。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②施工材料投入计划；③施工机械的维护保养和材料的贮存；④施工机械、材料的监督和检查等。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一、评审内容：内容至少包括①项目管理机构图;②岗位安排及职责③劳动力计划安排；④管理制度；⑤相应的协调措施等。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提供2023年1月1日以来类似业绩，一份业绩得2分，本项最高6分。 赋分依据：加盖公章的合同复印件或中标通知书复印件（注：复印件至少含合同首页，双方签字盖章页，时间以合同复印件或中标通知书签订为准。）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满足磋商文件要求且最终报价最低的供应商的价格为磋商基准价，其价格得分为满分。其他磋商单位的价格分统一按照下列公式计算：价格分=（评审基准价/最终报价）×30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