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版本号：SXHR-2026-01220260423001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2025年省级林业草原改革发展资金临潼区林业有害生物防治项目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SXHR-2026-012</w:t>
      </w:r>
      <w:r>
        <w:br/>
      </w:r>
      <w:r>
        <w:br/>
      </w:r>
      <w:r>
        <w:br/>
      </w:r>
    </w:p>
    <w:p>
      <w:pPr>
        <w:pStyle w:val="null3"/>
        <w:jc w:val="center"/>
        <w:outlineLvl w:val="2"/>
      </w:pPr>
      <w:r>
        <w:rPr>
          <w:rFonts w:ascii="仿宋_GB2312" w:hAnsi="仿宋_GB2312" w:cs="仿宋_GB2312" w:eastAsia="仿宋_GB2312"/>
          <w:sz w:val="28"/>
          <w:b/>
        </w:rPr>
        <w:t>西安市临潼区林业工作站</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西安市临潼区林业工作站</w:t>
      </w:r>
      <w:r>
        <w:rPr>
          <w:rFonts w:ascii="仿宋_GB2312" w:hAnsi="仿宋_GB2312" w:cs="仿宋_GB2312" w:eastAsia="仿宋_GB2312"/>
        </w:rPr>
        <w:t>委托，拟对</w:t>
      </w:r>
      <w:r>
        <w:rPr>
          <w:rFonts w:ascii="仿宋_GB2312" w:hAnsi="仿宋_GB2312" w:cs="仿宋_GB2312" w:eastAsia="仿宋_GB2312"/>
        </w:rPr>
        <w:t>2025年省级林业草原改革发展资金临潼区林业有害生物防治项目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SXHR-2026-012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2025年省级林业草原改革发展资金临潼区林业有害生物防治项目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本项目建设目标主要有三项：一是林业有害生物监测调查；二是开展10000亩次侧柏叶部病害防治；三是释放生物天敌。 开展2次侧柏叶部病害无人机防治5000亩；释放花绒寄甲6.5万头，肿腿蜂20万头，林草有害生物防治总面积2.38万亩。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采购包1（2025年省级林业草原改革发展资金临潼区林业有害生物防治项目）：属于专门面向中小企业采购。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2、供应商资质要求：供应商应提供《陕西省林业有害生物防治资质证书》资质等级丙级及以上资质；</w:t>
      </w:r>
    </w:p>
    <w:p>
      <w:pPr>
        <w:pStyle w:val="null3"/>
      </w:pPr>
      <w:r>
        <w:rPr>
          <w:rFonts w:ascii="仿宋_GB2312" w:hAnsi="仿宋_GB2312" w:cs="仿宋_GB2312" w:eastAsia="仿宋_GB2312"/>
        </w:rPr>
        <w:t>3、供应商信用记录：供应商不得为“信用中国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临潼区秦陵街办党校路9号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王国胜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02983886483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西安市临潼区林业工作站</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本项目建设目标主要有三项：一是林业有害生物监测调查；二是开展10000亩次侧柏叶部病害防治；三是释放生物天敌。 开展2次侧柏叶部病害无人机防治5000亩；释放花绒寄甲6.5万头，肿腿蜂20万头，林草有害生物防治总面积2.38万亩。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2025年省级林业草原改革发展资金临潼区林业有害生物防治项目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标的名称：2025年省级林业草原改革发展资金临潼区林业有害生物防治项目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66"/>
              <w:jc w:val="both"/>
            </w:pPr>
            <w:r>
              <w:rPr>
                <w:rFonts w:ascii="仿宋_GB2312" w:hAnsi="仿宋_GB2312" w:cs="仿宋_GB2312" w:eastAsia="仿宋_GB2312"/>
                <w:sz w:val="18"/>
                <w:b/>
              </w:rPr>
              <w:t>一、项目名称</w:t>
            </w:r>
          </w:p>
          <w:p>
            <w:pPr>
              <w:pStyle w:val="null3"/>
              <w:ind w:firstLine="371"/>
              <w:jc w:val="both"/>
            </w:pPr>
            <w:r>
              <w:rPr>
                <w:rFonts w:ascii="仿宋_GB2312" w:hAnsi="仿宋_GB2312" w:cs="仿宋_GB2312" w:eastAsia="仿宋_GB2312"/>
                <w:sz w:val="18"/>
              </w:rPr>
              <w:t xml:space="preserve">2025年省级林业草原改革发展资金临潼区林业有害生物防治项目  </w:t>
            </w:r>
          </w:p>
          <w:p>
            <w:pPr>
              <w:pStyle w:val="null3"/>
              <w:ind w:firstLine="373"/>
              <w:jc w:val="both"/>
            </w:pPr>
            <w:r>
              <w:rPr>
                <w:rFonts w:ascii="仿宋_GB2312" w:hAnsi="仿宋_GB2312" w:cs="仿宋_GB2312" w:eastAsia="仿宋_GB2312"/>
                <w:sz w:val="18"/>
                <w:b/>
              </w:rPr>
              <w:t>二、项目实施单位：</w:t>
            </w:r>
            <w:r>
              <w:rPr>
                <w:rFonts w:ascii="仿宋_GB2312" w:hAnsi="仿宋_GB2312" w:cs="仿宋_GB2312" w:eastAsia="仿宋_GB2312"/>
                <w:sz w:val="18"/>
              </w:rPr>
              <w:t>临潼区林业工作站</w:t>
            </w:r>
          </w:p>
          <w:p>
            <w:pPr>
              <w:pStyle w:val="null3"/>
              <w:ind w:firstLine="373"/>
              <w:jc w:val="both"/>
            </w:pPr>
            <w:r>
              <w:rPr>
                <w:rFonts w:ascii="仿宋_GB2312" w:hAnsi="仿宋_GB2312" w:cs="仿宋_GB2312" w:eastAsia="仿宋_GB2312"/>
                <w:sz w:val="18"/>
                <w:b/>
              </w:rPr>
              <w:t>三、项目实施内容</w:t>
            </w:r>
          </w:p>
          <w:p>
            <w:pPr>
              <w:pStyle w:val="null3"/>
              <w:ind w:firstLine="476"/>
              <w:jc w:val="both"/>
            </w:pPr>
            <w:r>
              <w:rPr>
                <w:rFonts w:ascii="仿宋_GB2312" w:hAnsi="仿宋_GB2312" w:cs="仿宋_GB2312" w:eastAsia="仿宋_GB2312"/>
                <w:sz w:val="18"/>
              </w:rPr>
              <w:t>本项目建设目标主要有三项：一是林业有害生物监测调查；二是开展10000亩次侧柏叶部病害防治；三是释放生物天敌。</w:t>
            </w:r>
          </w:p>
          <w:p>
            <w:pPr>
              <w:pStyle w:val="null3"/>
              <w:ind w:firstLine="476"/>
              <w:jc w:val="both"/>
            </w:pPr>
            <w:r>
              <w:rPr>
                <w:rFonts w:ascii="仿宋_GB2312" w:hAnsi="仿宋_GB2312" w:cs="仿宋_GB2312" w:eastAsia="仿宋_GB2312"/>
                <w:sz w:val="18"/>
              </w:rPr>
              <w:t>开展2次侧柏叶部病害无人机防治5000亩；释放花绒寄甲6.5万头，肿腿蜂20万头，林草有害生物防治总面积2.38万亩。</w:t>
            </w:r>
          </w:p>
          <w:p>
            <w:pPr>
              <w:pStyle w:val="null3"/>
              <w:ind w:firstLine="373"/>
              <w:jc w:val="both"/>
            </w:pPr>
            <w:r>
              <w:rPr>
                <w:rFonts w:ascii="仿宋_GB2312" w:hAnsi="仿宋_GB2312" w:cs="仿宋_GB2312" w:eastAsia="仿宋_GB2312"/>
                <w:sz w:val="18"/>
                <w:b/>
              </w:rPr>
              <w:t>四、主要技术措施</w:t>
            </w:r>
          </w:p>
          <w:p>
            <w:pPr>
              <w:pStyle w:val="null3"/>
              <w:ind w:firstLine="476"/>
              <w:jc w:val="both"/>
            </w:pPr>
            <w:r>
              <w:rPr>
                <w:rFonts w:ascii="仿宋_GB2312" w:hAnsi="仿宋_GB2312" w:cs="仿宋_GB2312" w:eastAsia="仿宋_GB2312"/>
                <w:sz w:val="18"/>
              </w:rPr>
              <w:t>（一）监测调查</w:t>
            </w:r>
          </w:p>
          <w:p>
            <w:pPr>
              <w:pStyle w:val="null3"/>
              <w:ind w:firstLine="476"/>
              <w:jc w:val="both"/>
            </w:pPr>
            <w:r>
              <w:rPr>
                <w:rFonts w:ascii="仿宋_GB2312" w:hAnsi="仿宋_GB2312" w:cs="仿宋_GB2312" w:eastAsia="仿宋_GB2312"/>
                <w:sz w:val="18"/>
              </w:rPr>
              <w:t>成立调查小组，对全区侧柏、临蓝交接区域树种进行全面排查，特别是已发病区域周边和生态脆弱地带。采用定期巡查与定点监测相结合的方式，及时掌握病害、虫害的发生发展动态，做到防早、防小，有效保护林业病虫害扩散蔓延。</w:t>
            </w:r>
          </w:p>
          <w:p>
            <w:pPr>
              <w:pStyle w:val="null3"/>
              <w:ind w:firstLine="476"/>
              <w:jc w:val="both"/>
            </w:pPr>
            <w:r>
              <w:rPr>
                <w:rFonts w:ascii="仿宋_GB2312" w:hAnsi="仿宋_GB2312" w:cs="仿宋_GB2312" w:eastAsia="仿宋_GB2312"/>
                <w:sz w:val="18"/>
              </w:rPr>
              <w:t>（二）开展侧柏叶部病害防治</w:t>
            </w:r>
          </w:p>
          <w:p>
            <w:pPr>
              <w:pStyle w:val="null3"/>
              <w:spacing w:before="195"/>
              <w:ind w:left="150" w:right="210" w:firstLine="657"/>
              <w:jc w:val="both"/>
            </w:pPr>
            <w:r>
              <w:rPr>
                <w:rFonts w:ascii="仿宋_GB2312" w:hAnsi="仿宋_GB2312" w:cs="仿宋_GB2312" w:eastAsia="仿宋_GB2312"/>
                <w:sz w:val="18"/>
              </w:rPr>
              <w:t>以聘请社会化防治公司的形式，对分布在仁宗街道仁宗村、羊坡村、茨林村、房岩村和穆寨街道门岩村、西岳村等区域内的 5000 亩侧柏林出现的树势衰弱、叶片失</w:t>
            </w:r>
            <w:r>
              <w:rPr>
                <w:rFonts w:ascii="仿宋_GB2312" w:hAnsi="仿宋_GB2312" w:cs="仿宋_GB2312" w:eastAsia="仿宋_GB2312"/>
                <w:sz w:val="18"/>
              </w:rPr>
              <w:t>水发黄等</w:t>
            </w:r>
            <w:r>
              <w:rPr>
                <w:rFonts w:ascii="仿宋_GB2312" w:hAnsi="仿宋_GB2312" w:cs="仿宋_GB2312" w:eastAsia="仿宋_GB2312"/>
                <w:sz w:val="18"/>
              </w:rPr>
              <w:t>症状开展诊断防治</w:t>
            </w:r>
            <w:r>
              <w:rPr>
                <w:rFonts w:ascii="仿宋_GB2312" w:hAnsi="仿宋_GB2312" w:cs="仿宋_GB2312" w:eastAsia="仿宋_GB2312"/>
                <w:sz w:val="18"/>
              </w:rPr>
              <w:t>。</w:t>
            </w:r>
            <w:r>
              <w:rPr>
                <w:rFonts w:ascii="仿宋_GB2312" w:hAnsi="仿宋_GB2312" w:cs="仿宋_GB2312" w:eastAsia="仿宋_GB2312"/>
                <w:sz w:val="18"/>
              </w:rPr>
              <w:t>遵循“预防为主、综合治理、科 学精准、安全环保＂的原则</w:t>
            </w:r>
            <w:r>
              <w:rPr>
                <w:rFonts w:ascii="仿宋_GB2312" w:hAnsi="仿宋_GB2312" w:cs="仿宋_GB2312" w:eastAsia="仿宋_GB2312"/>
                <w:sz w:val="18"/>
              </w:rPr>
              <w:t>，</w:t>
            </w:r>
            <w:r>
              <w:rPr>
                <w:rFonts w:ascii="仿宋_GB2312" w:hAnsi="仿宋_GB2312" w:cs="仿宋_GB2312" w:eastAsia="仿宋_GB2312"/>
                <w:sz w:val="18"/>
              </w:rPr>
              <w:t>对中度以上发生的侧柏林对症下药，</w:t>
            </w:r>
            <w:r>
              <w:rPr>
                <w:rFonts w:ascii="仿宋_GB2312" w:hAnsi="仿宋_GB2312" w:cs="仿宋_GB2312" w:eastAsia="仿宋_GB2312"/>
                <w:sz w:val="18"/>
              </w:rPr>
              <w:t>采用无人机飞防</w:t>
            </w:r>
            <w:r>
              <w:rPr>
                <w:rFonts w:ascii="仿宋_GB2312" w:hAnsi="仿宋_GB2312" w:cs="仿宋_GB2312" w:eastAsia="仿宋_GB2312"/>
                <w:sz w:val="18"/>
              </w:rPr>
              <w:t>的形式，开展5000</w:t>
            </w:r>
            <w:r>
              <w:rPr>
                <w:rFonts w:ascii="仿宋_GB2312" w:hAnsi="仿宋_GB2312" w:cs="仿宋_GB2312" w:eastAsia="仿宋_GB2312"/>
                <w:sz w:val="18"/>
              </w:rPr>
              <w:t>亩</w:t>
            </w:r>
            <w:r>
              <w:rPr>
                <w:rFonts w:ascii="仿宋_GB2312" w:hAnsi="仿宋_GB2312" w:cs="仿宋_GB2312" w:eastAsia="仿宋_GB2312"/>
                <w:sz w:val="18"/>
              </w:rPr>
              <w:t>侧柏叶部病害防治</w:t>
            </w:r>
            <w:r>
              <w:rPr>
                <w:rFonts w:ascii="仿宋_GB2312" w:hAnsi="仿宋_GB2312" w:cs="仿宋_GB2312" w:eastAsia="仿宋_GB2312"/>
                <w:sz w:val="18"/>
              </w:rPr>
              <w:t>2</w:t>
            </w:r>
            <w:r>
              <w:rPr>
                <w:rFonts w:ascii="仿宋_GB2312" w:hAnsi="仿宋_GB2312" w:cs="仿宋_GB2312" w:eastAsia="仿宋_GB2312"/>
                <w:sz w:val="18"/>
              </w:rPr>
              <w:t>次</w:t>
            </w:r>
            <w:r>
              <w:rPr>
                <w:rFonts w:ascii="仿宋_GB2312" w:hAnsi="仿宋_GB2312" w:cs="仿宋_GB2312" w:eastAsia="仿宋_GB2312"/>
                <w:sz w:val="18"/>
              </w:rPr>
              <w:t>。本次防治药物以杀菌剂+植物动力肥复配的方法进行，在杀菌的同时，增强树体抗性，遏制枯叶病扩散蔓延，保护非发生区侧柏免遭危害。</w:t>
            </w:r>
          </w:p>
          <w:p>
            <w:pPr>
              <w:pStyle w:val="null3"/>
              <w:ind w:firstLine="476"/>
              <w:jc w:val="both"/>
            </w:pPr>
            <w:r>
              <w:rPr>
                <w:rFonts w:ascii="仿宋_GB2312" w:hAnsi="仿宋_GB2312" w:cs="仿宋_GB2312" w:eastAsia="仿宋_GB2312"/>
                <w:sz w:val="18"/>
              </w:rPr>
              <w:t>（三）释放生物天敌</w:t>
            </w:r>
          </w:p>
          <w:p>
            <w:pPr>
              <w:pStyle w:val="null3"/>
            </w:pPr>
            <w:r>
              <w:rPr>
                <w:rFonts w:ascii="仿宋_GB2312" w:hAnsi="仿宋_GB2312" w:cs="仿宋_GB2312" w:eastAsia="仿宋_GB2312"/>
                <w:sz w:val="18"/>
              </w:rPr>
              <w:t xml:space="preserve">  5月份，在临潼区骊山与蓝田交界的仁宗街道、穆寨街道、小金街道毗邻区域的松科植物及两旁树绿化带，释放生物天敌成虫花绒寄甲成虫6.5万头，肿腿蜂成虫20万头，促进天敌种群数量增加，降低松褐天牛、云斑天牛等蛀干害虫密度，促进天敌种群数量增加,实现区域内1.88万亩松科植物、侧柏、柳树、杨树、核桃等林木蛀干害虫天牛的可持续控制，降低松材线虫病感病几率，维护林木生态安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配备满足本项目各专业要求，根据人员及设备安排的科学性、合理性安排。</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配备满足本项目各专业要求，根据人员及设备安排的科学性、合理性安排。</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(1)质量指标:防治作业完成率100%，无公害防治率90%以上。 (2)效益指标:林业有害生物成灾率5‰以内，林业生态效益发挥明显，林业空间保护治理能力持续向好。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自合同签订之日起截止到2026年6月30日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项目实施结束后，乙方报请甲方验收，并经主管部门验收合格后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剩余合同总金额百分之五（5%）作为质保金，自验收结束之日起6个月内，在无索赔争议的情况下</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甲乙双方所有争议应先采取友好协商的解决方式。协商未达成一致意见的，甲乙双方均可向甲方所在地有管辖权的人民法院提起诉讼。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 2、本项目属性：服务类；本项目采购标的所属行业为：农、林、牧、渔业。（按照《工信部 国家统计局 发改委 财政部 工信部联企业》中小企业划型标准（〔2011〕300号）规定：营业收入20000万元以下的为中小微型企业。其中，营业收入500万元及以上的为中型企业，营业收入50万元及以上的为小型企业，营业收入50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供应商应提供《陕西省林业有害生物防治资质证书》资质等级丙级及以上资质；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资格证明文件.docx 响应文件封面 残疾人福利性单位声明函 供应商拒绝政府采购领域商业贿赂承诺书.docx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（2）磋商报 价一览表填写符合要求； （3）计量单位、报价 货币均符合磋商文件要求； （4）未超过采购预算或磋商文件规定的最高限价。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响应文件内容是否齐全，格式是否符合磋商文件规定的格式要求；</w:t>
            </w:r>
          </w:p>
        </w:tc>
        <w:tc>
          <w:tcPr>
            <w:tcW w:type="dxa" w:w="1661"/>
          </w:tcPr>
          <w:p>
            <w:pPr>
              <w:pStyle w:val="null3"/>
            </w:pPr>
            <w:r>
              <w:rPr>
                <w:rFonts w:ascii="仿宋_GB2312" w:hAnsi="仿宋_GB2312" w:cs="仿宋_GB2312" w:eastAsia="仿宋_GB2312"/>
              </w:rPr>
              <w:t>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一、评审内容:供应商根据本项目提供服务方案。方案内容包括但不限于：①服务内容；②服务标准；③服务方案描述；④服务档案管理；⑤服务应急响应等。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一、评审内容:供应商根据本项目提供监测方案。方案内容包括但不限于：①监测点设置；②监测频率与方法；③监测数据管理：④诱捕监测方案等。⑤监测预警与应急联动机制。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预防方案</w:t>
            </w:r>
          </w:p>
        </w:tc>
        <w:tc>
          <w:tcPr>
            <w:tcW w:type="dxa" w:w="2492"/>
          </w:tcPr>
          <w:p>
            <w:pPr>
              <w:pStyle w:val="null3"/>
            </w:pPr>
            <w:r>
              <w:rPr>
                <w:rFonts w:ascii="仿宋_GB2312" w:hAnsi="仿宋_GB2312" w:cs="仿宋_GB2312" w:eastAsia="仿宋_GB2312"/>
              </w:rPr>
              <w:t>一、评审内容:供应商根据本项目提供预防方案。方案内容包括但不限于：①预防措施；②预防资源保障；③预防时序规划；④风险预判及应对；⑤预防效果评估等。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一、评审内容:供应商根据本项目提供人员配备方案。方案内容包括但不限于：①专业服务团队配置；②人员组织结构与岗位职责；③核心人员资质与经验；④团队稳定性保障措施；⑤人员培训与考核机制等。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防治方案</w:t>
            </w:r>
          </w:p>
        </w:tc>
        <w:tc>
          <w:tcPr>
            <w:tcW w:type="dxa" w:w="2492"/>
          </w:tcPr>
          <w:p>
            <w:pPr>
              <w:pStyle w:val="null3"/>
            </w:pPr>
            <w:r>
              <w:rPr>
                <w:rFonts w:ascii="仿宋_GB2312" w:hAnsi="仿宋_GB2312" w:cs="仿宋_GB2312" w:eastAsia="仿宋_GB2312"/>
              </w:rPr>
              <w:t>一、评审内容:供应商根据本项目提供防治方案。方案内容包括但不限于：①进度计划安排措施；②验收保证措施；③安全保证措施等；④售后承诺；⑤服务质量保障措施等。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2023年1月至今类似项目合同，每提供1个得1分，最高得5分。 赋分依据：加盖公章的合同复印件或中标通知书复印件（时间以合同复印件或中标通知书签订为准。）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供应商的投标总价超过招标预算金额的视为废标，不再参与下一步评审。(2)评标基准价:所有有效投标报价的最低报价作为评标基准价。(3)磋商报价得分=(磋商基准价/最终磋商报价)×20%×100的公式计算得分。符合竞争性磋商文件规定的监狱企业、残疾人企业优惠条件的投标人，价格给予政策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