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版本号：HYTF-20260402220260427001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临潼陵雨干沟、大寨干沟沿线农村生活污水治理项目设计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HYTF-202604022</w:t>
      </w:r>
      <w:r>
        <w:br/>
      </w:r>
      <w:r>
        <w:br/>
      </w:r>
      <w:r>
        <w:br/>
      </w:r>
    </w:p>
    <w:p>
      <w:pPr>
        <w:pStyle w:val="null3"/>
        <w:jc w:val="center"/>
        <w:outlineLvl w:val="2"/>
      </w:pPr>
      <w:r>
        <w:rPr>
          <w:rFonts w:ascii="仿宋_GB2312" w:hAnsi="仿宋_GB2312" w:cs="仿宋_GB2312" w:eastAsia="仿宋_GB2312"/>
          <w:sz w:val="28"/>
          <w:b/>
        </w:rPr>
        <w:t>西安市临潼区雨金街道办事处</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西安市临潼区雨金街道办事处</w:t>
      </w:r>
      <w:r>
        <w:rPr>
          <w:rFonts w:ascii="仿宋_GB2312" w:hAnsi="仿宋_GB2312" w:cs="仿宋_GB2312" w:eastAsia="仿宋_GB2312"/>
        </w:rPr>
        <w:t>委托，拟对</w:t>
      </w:r>
      <w:r>
        <w:rPr>
          <w:rFonts w:ascii="仿宋_GB2312" w:hAnsi="仿宋_GB2312" w:cs="仿宋_GB2312" w:eastAsia="仿宋_GB2312"/>
        </w:rPr>
        <w:t>临潼陵雨干沟、大寨干沟沿线农村生活污水治理项目设计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HYTF-202604022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临潼陵雨干沟、大寨干沟沿线农村生活污水治理项目设计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临潼陵雨干沟、大寨干沟沿线农村生活污水治理设计服务，包括：污水收集管网、污水治理设施、配套工程设计。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1、营业执照等主体资格证明文件：供应商是法人或其他组织的应提供营业执照等证明文件，供应商是自然人的应提供有效的自然人身份证明；</w:t>
      </w:r>
    </w:p>
    <w:p>
      <w:pPr>
        <w:pStyle w:val="null3"/>
      </w:pPr>
      <w:r>
        <w:rPr>
          <w:rFonts w:ascii="仿宋_GB2312" w:hAnsi="仿宋_GB2312" w:cs="仿宋_GB2312" w:eastAsia="仿宋_GB2312"/>
        </w:rPr>
        <w:t>2、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3、基本资格条件承诺函：供应商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w:t>
      </w:r>
    </w:p>
    <w:p>
      <w:pPr>
        <w:pStyle w:val="null3"/>
      </w:pPr>
      <w:r>
        <w:rPr>
          <w:rFonts w:ascii="仿宋_GB2312" w:hAnsi="仿宋_GB2312" w:cs="仿宋_GB2312" w:eastAsia="仿宋_GB2312"/>
        </w:rPr>
        <w:t>4、企业资质：供应商须具备工程设计综合资质甲级或工程设计专项资质环境工程（水污染防治工程）乙级及以上资质；</w:t>
      </w:r>
    </w:p>
    <w:p>
      <w:pPr>
        <w:pStyle w:val="null3"/>
      </w:pPr>
      <w:r>
        <w:rPr>
          <w:rFonts w:ascii="仿宋_GB2312" w:hAnsi="仿宋_GB2312" w:cs="仿宋_GB2312" w:eastAsia="仿宋_GB2312"/>
        </w:rPr>
        <w:t>5、项目负责人：拟派项目负责人须具备环境工程专业高级及以上职称，且在本单位任职（提供相应证明材料）；</w:t>
      </w:r>
    </w:p>
    <w:p>
      <w:pPr>
        <w:pStyle w:val="null3"/>
      </w:pPr>
      <w:r>
        <w:rPr>
          <w:rFonts w:ascii="仿宋_GB2312" w:hAnsi="仿宋_GB2312" w:cs="仿宋_GB2312" w:eastAsia="仿宋_GB2312"/>
        </w:rPr>
        <w:t>6、法律、行政法规规定的其他条件：具备法律、行政法规规定的其他条件的证明材料；</w:t>
      </w:r>
    </w:p>
    <w:p>
      <w:pPr>
        <w:pStyle w:val="null3"/>
      </w:pPr>
      <w:r>
        <w:rPr>
          <w:rFonts w:ascii="仿宋_GB2312" w:hAnsi="仿宋_GB2312" w:cs="仿宋_GB2312" w:eastAsia="仿宋_GB2312"/>
        </w:rPr>
        <w:t>7、本项目不接受联合体投标，不允许分包：本项目不接受联合体投标，不允许分包。供应商提供《非联合体不分包投标声明》，视为独立投标，不分包。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西安市临潼区雨金街道办事处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西安市临潼区雨金街道东关村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029-83807729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代理服务费收费标准：以成交金额为取费基数，采购代理服务费参照《国家计委关于印发&lt;招标代理服务收费管理暂行办法&gt;的通知》（计价格[2002]1980号）和（发改办价格[2011]534号）文件规定的标准收取。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西安市临潼区雨金街道办事处</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西安市临潼区雨金街道办事处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西安市临潼区雨金街道办事处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w:t>
      </w:r>
    </w:p>
    <w:p>
      <w:pPr>
        <w:pStyle w:val="null3"/>
      </w:pPr>
      <w:r>
        <w:rPr>
          <w:rFonts w:ascii="仿宋_GB2312" w:hAnsi="仿宋_GB2312" w:cs="仿宋_GB2312" w:eastAsia="仿宋_GB2312"/>
        </w:rPr>
        <w:t>联系电话：029-89284433-606</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临潼陵雨干沟、大寨干沟沿线农村生活污水治理设计服务，包括：污水收集管网、污水治理设施、配套工程设计。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临潼陵雨干沟大寨干沟沿线农村生活污水治理项目设计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标的名称：临潼陵雨干沟大寨干沟沿线农村生活污水治理项目设计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、项目概况</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工程</w:t>
            </w:r>
            <w:r>
              <w:rPr>
                <w:rFonts w:ascii="仿宋_GB2312" w:hAnsi="仿宋_GB2312" w:cs="仿宋_GB2312" w:eastAsia="仿宋_GB2312"/>
                <w:sz w:val="20"/>
              </w:rPr>
              <w:t>名称：</w:t>
            </w:r>
            <w:r>
              <w:rPr>
                <w:rFonts w:ascii="仿宋_GB2312" w:hAnsi="仿宋_GB2312" w:cs="仿宋_GB2312" w:eastAsia="仿宋_GB2312"/>
                <w:sz w:val="20"/>
              </w:rPr>
              <w:t>临潼陵雨干沟、大寨干沟沿线农村生活污水治理项目</w:t>
            </w:r>
          </w:p>
          <w:p>
            <w:pPr>
              <w:pStyle w:val="null3"/>
              <w:ind w:firstLine="400"/>
              <w:jc w:val="both"/>
            </w:pPr>
            <w:r>
              <w:rPr>
                <w:rFonts w:ascii="仿宋_GB2312" w:hAnsi="仿宋_GB2312" w:cs="仿宋_GB2312" w:eastAsia="仿宋_GB2312"/>
                <w:sz w:val="20"/>
              </w:rPr>
              <w:t>工程地点：西安市临潼区雨金街道和新市街道</w:t>
            </w:r>
          </w:p>
          <w:p>
            <w:pPr>
              <w:pStyle w:val="null3"/>
              <w:ind w:firstLine="400"/>
              <w:jc w:val="both"/>
            </w:pPr>
            <w:r>
              <w:rPr>
                <w:rFonts w:ascii="仿宋_GB2312" w:hAnsi="仿宋_GB2312" w:cs="仿宋_GB2312" w:eastAsia="仿宋_GB2312"/>
                <w:sz w:val="20"/>
              </w:rPr>
              <w:t>建设性质：新建</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主要设计内容</w:t>
            </w:r>
            <w:r>
              <w:rPr>
                <w:rFonts w:ascii="仿宋_GB2312" w:hAnsi="仿宋_GB2312" w:cs="仿宋_GB2312" w:eastAsia="仿宋_GB2312"/>
                <w:sz w:val="20"/>
              </w:rPr>
              <w:t>及要求</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主要设计内容</w:t>
            </w:r>
            <w:r>
              <w:rPr>
                <w:rFonts w:ascii="仿宋_GB2312" w:hAnsi="仿宋_GB2312" w:cs="仿宋_GB2312" w:eastAsia="仿宋_GB2312"/>
                <w:sz w:val="20"/>
              </w:rPr>
              <w:t>：</w:t>
            </w:r>
            <w:r>
              <w:rPr>
                <w:rFonts w:ascii="仿宋_GB2312" w:hAnsi="仿宋_GB2312" w:cs="仿宋_GB2312" w:eastAsia="仿宋_GB2312"/>
                <w:sz w:val="20"/>
              </w:rPr>
              <w:t>雨金街道</w:t>
            </w:r>
            <w:r>
              <w:rPr>
                <w:rFonts w:ascii="仿宋_GB2312" w:hAnsi="仿宋_GB2312" w:cs="仿宋_GB2312" w:eastAsia="仿宋_GB2312"/>
                <w:sz w:val="20"/>
              </w:rPr>
              <w:t>2 个村（新集村、高韩村），新市街道 4 个村（盐店村、孙陈村、马庄村、走马村），共 6 个村的污水收集管网、污水治理设施及道路破修工程。</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收集管网要求：满足《城乡排水工程项目规范》（</w:t>
            </w:r>
            <w:r>
              <w:rPr>
                <w:rFonts w:ascii="仿宋_GB2312" w:hAnsi="仿宋_GB2312" w:cs="仿宋_GB2312" w:eastAsia="仿宋_GB2312"/>
                <w:sz w:val="20"/>
              </w:rPr>
              <w:t>GB 55027-2022）、《室外排水设计标准》（GB50014-2021）、《城市工程管线综合规划规范》（GB 50289-2016）、《给水排水工程管道结构设计规范》（GB50332-2002）等要求</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污水治理设施要求：三格式化粪池处理后的生活污水执行《农田灌溉水质标准》（</w:t>
            </w:r>
            <w:r>
              <w:rPr>
                <w:rFonts w:ascii="仿宋_GB2312" w:hAnsi="仿宋_GB2312" w:cs="仿宋_GB2312" w:eastAsia="仿宋_GB2312"/>
                <w:sz w:val="20"/>
              </w:rPr>
              <w:t>GB5084-2021）和《城市污水再生利用农田灌溉用水水质》（GB20922-2007）标准。污水处理站出水水质执行《农村生活污水处理设施水污染物排放标准》（DB61/1227-2018）表 1的一级标准。</w:t>
            </w:r>
          </w:p>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、设计符合的标准</w:t>
            </w:r>
            <w:r>
              <w:rPr>
                <w:rFonts w:ascii="仿宋_GB2312" w:hAnsi="仿宋_GB2312" w:cs="仿宋_GB2312" w:eastAsia="仿宋_GB2312"/>
                <w:sz w:val="20"/>
              </w:rPr>
              <w:t>：</w:t>
            </w:r>
          </w:p>
          <w:p>
            <w:pPr>
              <w:pStyle w:val="null3"/>
              <w:ind w:firstLine="2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《农田灌溉水质标准》（</w:t>
            </w:r>
            <w:r>
              <w:rPr>
                <w:rFonts w:ascii="仿宋_GB2312" w:hAnsi="仿宋_GB2312" w:cs="仿宋_GB2312" w:eastAsia="仿宋_GB2312"/>
                <w:sz w:val="20"/>
              </w:rPr>
              <w:t>GB5084-2021）</w:t>
            </w:r>
          </w:p>
          <w:p>
            <w:pPr>
              <w:pStyle w:val="null3"/>
              <w:ind w:firstLine="2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《城市污水再生利用农田灌溉用水水质》（</w:t>
            </w:r>
            <w:r>
              <w:rPr>
                <w:rFonts w:ascii="仿宋_GB2312" w:hAnsi="仿宋_GB2312" w:cs="仿宋_GB2312" w:eastAsia="仿宋_GB2312"/>
                <w:sz w:val="20"/>
              </w:rPr>
              <w:t>GB20922-2007）</w:t>
            </w:r>
          </w:p>
          <w:p>
            <w:pPr>
              <w:pStyle w:val="null3"/>
              <w:ind w:firstLine="2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《农村生活污水处理设施水污染物排放标准》（</w:t>
            </w:r>
            <w:r>
              <w:rPr>
                <w:rFonts w:ascii="仿宋_GB2312" w:hAnsi="仿宋_GB2312" w:cs="仿宋_GB2312" w:eastAsia="仿宋_GB2312"/>
                <w:sz w:val="20"/>
              </w:rPr>
              <w:t>DB61/1227-2018）</w:t>
            </w:r>
          </w:p>
          <w:p>
            <w:pPr>
              <w:pStyle w:val="null3"/>
              <w:ind w:firstLine="2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《陕西省农村人居环境污水治理管理规范》（</w:t>
            </w:r>
            <w:r>
              <w:rPr>
                <w:rFonts w:ascii="仿宋_GB2312" w:hAnsi="仿宋_GB2312" w:cs="仿宋_GB2312" w:eastAsia="仿宋_GB2312"/>
                <w:sz w:val="20"/>
              </w:rPr>
              <w:t>DB61/T 1273-2019）</w:t>
            </w:r>
          </w:p>
          <w:p>
            <w:pPr>
              <w:pStyle w:val="null3"/>
              <w:ind w:firstLine="20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《西安市城市污水处理和再生水利用条例》（</w:t>
            </w:r>
            <w:r>
              <w:rPr>
                <w:rFonts w:ascii="仿宋_GB2312" w:hAnsi="仿宋_GB2312" w:cs="仿宋_GB2312" w:eastAsia="仿宋_GB2312"/>
                <w:sz w:val="20"/>
              </w:rPr>
              <w:t>2021年修正）</w:t>
            </w:r>
          </w:p>
          <w:p>
            <w:pPr>
              <w:pStyle w:val="null3"/>
              <w:ind w:firstLine="200"/>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《西安市临潼区农村生活污水专项治理规划》</w:t>
            </w:r>
          </w:p>
          <w:p>
            <w:pPr>
              <w:pStyle w:val="null3"/>
              <w:ind w:firstLine="200"/>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《城镇污水处理厂污染物排放标淮》（</w:t>
            </w:r>
            <w:r>
              <w:rPr>
                <w:rFonts w:ascii="仿宋_GB2312" w:hAnsi="仿宋_GB2312" w:cs="仿宋_GB2312" w:eastAsia="仿宋_GB2312"/>
                <w:sz w:val="20"/>
              </w:rPr>
              <w:t>GB18918-2002）</w:t>
            </w:r>
          </w:p>
          <w:p>
            <w:pPr>
              <w:pStyle w:val="null3"/>
              <w:ind w:firstLine="200"/>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《农村生活污水处理设施水污染物排放标准》（</w:t>
            </w:r>
            <w:r>
              <w:rPr>
                <w:rFonts w:ascii="仿宋_GB2312" w:hAnsi="仿宋_GB2312" w:cs="仿宋_GB2312" w:eastAsia="仿宋_GB2312"/>
                <w:sz w:val="20"/>
              </w:rPr>
              <w:t>DB61/12277 -2018）</w:t>
            </w:r>
          </w:p>
          <w:p>
            <w:pPr>
              <w:pStyle w:val="null3"/>
              <w:ind w:firstLine="200"/>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《农村生活污水处理工程技术标准》（</w:t>
            </w:r>
            <w:r>
              <w:rPr>
                <w:rFonts w:ascii="仿宋_GB2312" w:hAnsi="仿宋_GB2312" w:cs="仿宋_GB2312" w:eastAsia="仿宋_GB2312"/>
                <w:sz w:val="20"/>
              </w:rPr>
              <w:t>GB/T51347-2019）</w:t>
            </w:r>
          </w:p>
          <w:p>
            <w:pPr>
              <w:pStyle w:val="null3"/>
              <w:ind w:firstLine="200"/>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《建筑给水排水设计标准》（</w:t>
            </w:r>
            <w:r>
              <w:rPr>
                <w:rFonts w:ascii="仿宋_GB2312" w:hAnsi="仿宋_GB2312" w:cs="仿宋_GB2312" w:eastAsia="仿宋_GB2312"/>
                <w:sz w:val="20"/>
              </w:rPr>
              <w:t>GB20015-2019）</w:t>
            </w:r>
          </w:p>
          <w:p>
            <w:pPr>
              <w:pStyle w:val="null3"/>
              <w:ind w:firstLine="200"/>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《室外排水设计标准》（</w:t>
            </w:r>
            <w:r>
              <w:rPr>
                <w:rFonts w:ascii="仿宋_GB2312" w:hAnsi="仿宋_GB2312" w:cs="仿宋_GB2312" w:eastAsia="仿宋_GB2312"/>
                <w:sz w:val="20"/>
              </w:rPr>
              <w:t>GB50014-2021）</w:t>
            </w:r>
          </w:p>
          <w:p>
            <w:pPr>
              <w:pStyle w:val="null3"/>
              <w:ind w:firstLine="200"/>
              <w:jc w:val="both"/>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《给水排水管道工程施工及验收规范》（</w:t>
            </w:r>
            <w:r>
              <w:rPr>
                <w:rFonts w:ascii="仿宋_GB2312" w:hAnsi="仿宋_GB2312" w:cs="仿宋_GB2312" w:eastAsia="仿宋_GB2312"/>
                <w:sz w:val="20"/>
              </w:rPr>
              <w:t>GB50268-2008）</w:t>
            </w:r>
          </w:p>
          <w:p>
            <w:pPr>
              <w:pStyle w:val="null3"/>
              <w:ind w:firstLine="200"/>
              <w:jc w:val="both"/>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《给水排水构筑物施工及验收规范》（</w:t>
            </w:r>
            <w:r>
              <w:rPr>
                <w:rFonts w:ascii="仿宋_GB2312" w:hAnsi="仿宋_GB2312" w:cs="仿宋_GB2312" w:eastAsia="仿宋_GB2312"/>
                <w:sz w:val="20"/>
              </w:rPr>
              <w:t>GB50141-2008）</w:t>
            </w:r>
          </w:p>
          <w:p>
            <w:pPr>
              <w:pStyle w:val="null3"/>
              <w:ind w:firstLine="200"/>
              <w:jc w:val="both"/>
            </w:pP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《城乡排水工程项目规范》（</w:t>
            </w:r>
            <w:r>
              <w:rPr>
                <w:rFonts w:ascii="仿宋_GB2312" w:hAnsi="仿宋_GB2312" w:cs="仿宋_GB2312" w:eastAsia="仿宋_GB2312"/>
                <w:sz w:val="20"/>
              </w:rPr>
              <w:t>GB55027-2022）</w:t>
            </w:r>
          </w:p>
          <w:p>
            <w:pPr>
              <w:pStyle w:val="null3"/>
              <w:ind w:firstLine="200"/>
              <w:jc w:val="both"/>
            </w:pP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《室外排水设计标准》（</w:t>
            </w:r>
            <w:r>
              <w:rPr>
                <w:rFonts w:ascii="仿宋_GB2312" w:hAnsi="仿宋_GB2312" w:cs="仿宋_GB2312" w:eastAsia="仿宋_GB2312"/>
                <w:sz w:val="20"/>
              </w:rPr>
              <w:t>GB50014-2021）</w:t>
            </w:r>
          </w:p>
          <w:p>
            <w:pPr>
              <w:pStyle w:val="null3"/>
              <w:ind w:firstLine="200"/>
              <w:jc w:val="both"/>
            </w:pP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《城市工程管线综合规划规范》（</w:t>
            </w:r>
            <w:r>
              <w:rPr>
                <w:rFonts w:ascii="仿宋_GB2312" w:hAnsi="仿宋_GB2312" w:cs="仿宋_GB2312" w:eastAsia="仿宋_GB2312"/>
                <w:sz w:val="20"/>
              </w:rPr>
              <w:t>GB50289-2016）</w:t>
            </w:r>
          </w:p>
          <w:p>
            <w:pPr>
              <w:pStyle w:val="null3"/>
              <w:ind w:firstLine="200"/>
              <w:jc w:val="both"/>
            </w:pPr>
            <w:r>
              <w:rPr>
                <w:rFonts w:ascii="仿宋_GB2312" w:hAnsi="仿宋_GB2312" w:cs="仿宋_GB2312" w:eastAsia="仿宋_GB2312"/>
                <w:sz w:val="20"/>
              </w:rPr>
              <w:t>17</w:t>
            </w:r>
            <w:r>
              <w:rPr>
                <w:rFonts w:ascii="仿宋_GB2312" w:hAnsi="仿宋_GB2312" w:cs="仿宋_GB2312" w:eastAsia="仿宋_GB2312"/>
                <w:sz w:val="20"/>
              </w:rPr>
              <w:t>、</w:t>
            </w:r>
            <w:r>
              <w:rPr>
                <w:rFonts w:ascii="仿宋_GB2312" w:hAnsi="仿宋_GB2312" w:cs="仿宋_GB2312" w:eastAsia="仿宋_GB2312"/>
                <w:sz w:val="20"/>
              </w:rPr>
              <w:t>《给水排水工程管道结构设计规范》（</w:t>
            </w:r>
            <w:r>
              <w:rPr>
                <w:rFonts w:ascii="仿宋_GB2312" w:hAnsi="仿宋_GB2312" w:cs="仿宋_GB2312" w:eastAsia="仿宋_GB2312"/>
                <w:sz w:val="20"/>
              </w:rPr>
              <w:t>GB50332-2002）</w:t>
            </w:r>
          </w:p>
          <w:p>
            <w:pPr>
              <w:pStyle w:val="null3"/>
              <w:ind w:firstLine="400"/>
              <w:jc w:val="both"/>
            </w:pPr>
            <w:r>
              <w:rPr>
                <w:rFonts w:ascii="仿宋_GB2312" w:hAnsi="仿宋_GB2312" w:cs="仿宋_GB2312" w:eastAsia="仿宋_GB2312"/>
                <w:sz w:val="20"/>
              </w:rPr>
              <w:t>除以上标准外，还应满足国家、地方和行业颁布的与本工程有关的行业规范、标准和规定及相关专业的现行技术规范、法规、标准。</w:t>
            </w:r>
          </w:p>
          <w:p>
            <w:pPr>
              <w:pStyle w:val="null3"/>
              <w:jc w:val="both"/>
            </w:pPr>
            <w:r>
              <w:rPr>
                <w:rFonts w:ascii="仿宋_GB2312" w:hAnsi="仿宋_GB2312" w:cs="仿宋_GB2312" w:eastAsia="仿宋_GB2312"/>
                <w:sz w:val="20"/>
              </w:rPr>
              <w:t>四、</w:t>
            </w:r>
            <w:r>
              <w:rPr>
                <w:rFonts w:ascii="仿宋_GB2312" w:hAnsi="仿宋_GB2312" w:cs="仿宋_GB2312" w:eastAsia="仿宋_GB2312"/>
                <w:sz w:val="20"/>
              </w:rPr>
              <w:t>设计成果要求：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设计成果和文件完整、准确、可靠，深度满足相应设计阶段有关规定要求</w:t>
            </w:r>
            <w:r>
              <w:rPr>
                <w:rFonts w:ascii="仿宋_GB2312" w:hAnsi="仿宋_GB2312" w:cs="仿宋_GB2312" w:eastAsia="仿宋_GB2312"/>
                <w:sz w:val="20"/>
              </w:rPr>
              <w:t>,质量满足工程质量规范要求，并应满足甲方的生产使用要求。</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设计人交付设计文件后，应按照发包人的要求进行调整补充。设计人负责向发包人及施工单位进行设计交底、处理有关设计问题。</w:t>
            </w:r>
          </w:p>
          <w:p>
            <w:pPr>
              <w:pStyle w:val="null3"/>
            </w:pPr>
            <w:r>
              <w:rPr>
                <w:rFonts w:ascii="仿宋_GB2312" w:hAnsi="仿宋_GB2312" w:cs="仿宋_GB2312" w:eastAsia="仿宋_GB2312"/>
                <w:sz w:val="20"/>
              </w:rPr>
              <w:t xml:space="preserve">   3</w:t>
            </w:r>
            <w:r>
              <w:rPr>
                <w:rFonts w:ascii="仿宋_GB2312" w:hAnsi="仿宋_GB2312" w:cs="仿宋_GB2312" w:eastAsia="仿宋_GB2312"/>
                <w:sz w:val="20"/>
              </w:rPr>
              <w:t>、</w:t>
            </w:r>
            <w:r>
              <w:rPr>
                <w:rFonts w:ascii="仿宋_GB2312" w:hAnsi="仿宋_GB2312" w:cs="仿宋_GB2312" w:eastAsia="仿宋_GB2312"/>
                <w:sz w:val="20"/>
              </w:rPr>
              <w:t>纸质版施工图</w:t>
            </w:r>
            <w:r>
              <w:rPr>
                <w:rFonts w:ascii="仿宋_GB2312" w:hAnsi="仿宋_GB2312" w:cs="仿宋_GB2312" w:eastAsia="仿宋_GB2312"/>
                <w:sz w:val="20"/>
              </w:rPr>
              <w:t>6份。</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满足本项目采购需求及合同条款。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设计服务期限：自合同签订之日起10日内完成施工图设计。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施工图设计完成后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临潼陵雨干沟、大寨干沟沿线农村生活污水治理项目设计”对应的中小企业划分标准所属行业为：其他未列明行业。2、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3、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供应商须具备工程设计综合资质甲级或工程设计专项资质环境工程（水污染防治工程）乙级及以上资质；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拟派项目负责人须具备环境工程专业高级及以上职称，且在本单位任职（提供相应证明材料）；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资格证明材料.docx 响应函 服务方案及其他资料.docx 偏差表.docx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资格证明材料.docx 响应函 服务方案及其他资料.docx 偏差表.docx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满足本磋商文件中的实质性条款（设计服务期限、服务地点、付款方式）要求。</w:t>
            </w:r>
          </w:p>
        </w:tc>
        <w:tc>
          <w:tcPr>
            <w:tcW w:type="dxa" w:w="1661"/>
          </w:tcPr>
          <w:p>
            <w:pPr>
              <w:pStyle w:val="null3"/>
            </w:pPr>
            <w:r>
              <w:rPr>
                <w:rFonts w:ascii="仿宋_GB2312" w:hAnsi="仿宋_GB2312" w:cs="仿宋_GB2312" w:eastAsia="仿宋_GB2312"/>
              </w:rPr>
              <w:t>服务方案及其他资料.docx 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资格证明材料.docx 响应函 服务方案及其他资料.docx 偏差表.docx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项目理解与分析</w:t>
            </w:r>
          </w:p>
        </w:tc>
        <w:tc>
          <w:tcPr>
            <w:tcW w:type="dxa" w:w="2492"/>
          </w:tcPr>
          <w:p>
            <w:pPr>
              <w:pStyle w:val="null3"/>
            </w:pPr>
            <w:r>
              <w:rPr>
                <w:rFonts w:ascii="仿宋_GB2312" w:hAnsi="仿宋_GB2312" w:cs="仿宋_GB2312" w:eastAsia="仿宋_GB2312"/>
              </w:rPr>
              <w:t>一、评审内容 供应商提供对本项目的理解与分析。包括但不限于：①项目背景理解；②项目概况与现状分析。 二、评审标准：针对本项目背景理解到位，认识准确，项目概况与现状分析清晰明确，掌握项目各项工作要求，切合本项目实际情况及实施要求，每个要点均有展开详细的阐述计6分；评审内容每缺一项扣3分，扣完为止；评审内容有缺陷的每任意一项缺陷扣1分，扣完为止。（缺陷是指：内容不完整或缺少关键点；逻辑混乱、前后表述矛盾、理解偏差；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总体设计方案</w:t>
            </w:r>
          </w:p>
        </w:tc>
        <w:tc>
          <w:tcPr>
            <w:tcW w:type="dxa" w:w="2492"/>
          </w:tcPr>
          <w:p>
            <w:pPr>
              <w:pStyle w:val="null3"/>
            </w:pPr>
            <w:r>
              <w:rPr>
                <w:rFonts w:ascii="仿宋_GB2312" w:hAnsi="仿宋_GB2312" w:cs="仿宋_GB2312" w:eastAsia="仿宋_GB2312"/>
              </w:rPr>
              <w:t>一、评审内容 供应商提供针对本项目的总体设计方案。包括但不限于：①设计原则；②设计依据及标准；③设计理念、思路；④设计方案的具体规划和步骤；⑤设计成果及预期目标。 二、评审标准：针对本项目设计目标、规模、内容理解透彻，设计思路清晰、技术路线明确、方案阐述内容全面完整，每个要点均有展开详细的阐述，能确保设计方案的可行性和可实施性，计20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设计进度计划及控制措施</w:t>
            </w:r>
          </w:p>
        </w:tc>
        <w:tc>
          <w:tcPr>
            <w:tcW w:type="dxa" w:w="2492"/>
          </w:tcPr>
          <w:p>
            <w:pPr>
              <w:pStyle w:val="null3"/>
            </w:pPr>
            <w:r>
              <w:rPr>
                <w:rFonts w:ascii="仿宋_GB2312" w:hAnsi="仿宋_GB2312" w:cs="仿宋_GB2312" w:eastAsia="仿宋_GB2312"/>
              </w:rPr>
              <w:t>一、评审内容 供应商提供针对本项目的设计进度计划及控制措施。包括但不限于：①设计方案的总体进度计划安排；②确保进度的保障措施；③合理的资源配置安排与目标跟踪等。 二、评审标准：针对本项目的设计进度计划安排合理，时间节点明确，控制措施合理可实施性强，切合本项目实际情况及实施要求，每个要点均有展开详细的阐述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工程限额设计控制措施</w:t>
            </w:r>
          </w:p>
        </w:tc>
        <w:tc>
          <w:tcPr>
            <w:tcW w:type="dxa" w:w="2492"/>
          </w:tcPr>
          <w:p>
            <w:pPr>
              <w:pStyle w:val="null3"/>
            </w:pPr>
            <w:r>
              <w:rPr>
                <w:rFonts w:ascii="仿宋_GB2312" w:hAnsi="仿宋_GB2312" w:cs="仿宋_GB2312" w:eastAsia="仿宋_GB2312"/>
              </w:rPr>
              <w:t>一、评审内容 供应商提供针对本项目的工程限额设计控制措施。包括但不限于：①建立完善的设计管理流程及有效的沟通机制；②结合工程特点制定科学合理的设计方案；③建立成本控制机制，提升成本控制意识。 二、评审标准：针对本项目的工程限额设计控制措施详细、全面，程序完善、合理，措施有力，可行性强，切合本项目实际情况及实施要求，每个要点均有展开详细的阐述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供应商提供针对本项目的服务质量保证措施。包括但不限于：①服务质量的标准、管理制度；②确保服务质量的保障措施。 二、评审标准：针对本项目的服务质量保证措施详细，管理制度完整，程序合规，设计方案和图纸编制、审核流程严谨，切合本项目实际情况及实施要求，每个要点均有展开详细的阐述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组织机构及人员配置</w:t>
            </w:r>
          </w:p>
        </w:tc>
        <w:tc>
          <w:tcPr>
            <w:tcW w:type="dxa" w:w="2492"/>
          </w:tcPr>
          <w:p>
            <w:pPr>
              <w:pStyle w:val="null3"/>
            </w:pPr>
            <w:r>
              <w:rPr>
                <w:rFonts w:ascii="仿宋_GB2312" w:hAnsi="仿宋_GB2312" w:cs="仿宋_GB2312" w:eastAsia="仿宋_GB2312"/>
              </w:rPr>
              <w:t>一、评审内容 供应商组织机构设置合理，人员专业配备齐全、后备力量有保障，拟投入本项目的各岗位人员配备符合本项目实际需求，包括但不限于：①团队人员组织架构安排及人员配置清单；②团队人员的岗位职责及分工；③团队人员的资历及项目经验。 二、评审标准：保证所需求的人员结构配置合理、科学，职责分工明确，人数充足，有利于项目实施计9分；评审内容每缺一项扣3分，扣完为止；评审内容有缺陷的每任意一项缺陷扣1分，扣完为止。（缺陷是指：内容粗略、逻辑混乱、职责分工不明确、组织架构不合理、与项目特点不匹配、逻辑漏洞、出现常识性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项目团队人员专业性</w:t>
            </w:r>
          </w:p>
        </w:tc>
        <w:tc>
          <w:tcPr>
            <w:tcW w:type="dxa" w:w="2492"/>
          </w:tcPr>
          <w:p>
            <w:pPr>
              <w:pStyle w:val="null3"/>
            </w:pPr>
            <w:r>
              <w:rPr>
                <w:rFonts w:ascii="仿宋_GB2312" w:hAnsi="仿宋_GB2312" w:cs="仿宋_GB2312" w:eastAsia="仿宋_GB2312"/>
              </w:rPr>
              <w:t>项目团队成员中（项目负责人除外）具有环境工程相关专业高级及以上职称，每提供一人计2分；具有环境工程相关专业中级职称，每提供一人计1分，其他不得分。本项共计6分。 （备注：以上人员需提供身份证、学历证、职称证及本单位社保缴纳证明，未提供证明材料或提供不全的不计分。）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后续服务</w:t>
            </w:r>
          </w:p>
        </w:tc>
        <w:tc>
          <w:tcPr>
            <w:tcW w:type="dxa" w:w="2492"/>
          </w:tcPr>
          <w:p>
            <w:pPr>
              <w:pStyle w:val="null3"/>
            </w:pPr>
            <w:r>
              <w:rPr>
                <w:rFonts w:ascii="仿宋_GB2312" w:hAnsi="仿宋_GB2312" w:cs="仿宋_GB2312" w:eastAsia="仿宋_GB2312"/>
              </w:rPr>
              <w:t>一、评审内容 针对本项目有后续服务保证措施，包括但不限于：①后续服务计划安排；②后续延伸服务范围；③与采购人之间的配合及服务承诺。 二、评审标准：后续服务各部分内容全面详细、阐述条理清晰详尽、合理可行，符合本项目采购需求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重点难点分析及解决措施</w:t>
            </w:r>
          </w:p>
        </w:tc>
        <w:tc>
          <w:tcPr>
            <w:tcW w:type="dxa" w:w="2492"/>
          </w:tcPr>
          <w:p>
            <w:pPr>
              <w:pStyle w:val="null3"/>
            </w:pPr>
            <w:r>
              <w:rPr>
                <w:rFonts w:ascii="仿宋_GB2312" w:hAnsi="仿宋_GB2312" w:cs="仿宋_GB2312" w:eastAsia="仿宋_GB2312"/>
              </w:rPr>
              <w:t>供应商提供针对本项目设计工作重点、难点分析及解决方案。关键点分析准确，解决方案针对性强计4分；对重点、难点分析基本准确，解决方案针对性和可行性一般计2分；对重点、难点有分析但不准确，解决方案合理性、可行性差计1分；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合理化建议及廉洁、保密</w:t>
            </w:r>
          </w:p>
        </w:tc>
        <w:tc>
          <w:tcPr>
            <w:tcW w:type="dxa" w:w="2492"/>
          </w:tcPr>
          <w:p>
            <w:pPr>
              <w:pStyle w:val="null3"/>
            </w:pPr>
            <w:r>
              <w:rPr>
                <w:rFonts w:ascii="仿宋_GB2312" w:hAnsi="仿宋_GB2312" w:cs="仿宋_GB2312" w:eastAsia="仿宋_GB2312"/>
              </w:rPr>
              <w:t>一、评审内容 供应商提供针对本项目的合理化建议及保密措施。包括但不限于：①有利于项目实施的合理化建议；②廉洁、保密承诺及措施。 二、评审标准：合理化建议内容全面合理，贴合本项目需求，有利于采购人；廉洁、保密措施明确，阐述清晰，针对性和可行性强计4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供应商提供2023年1月1日起至今类似项目业绩，响应文件中附其合同证明文件每份计2分，满分6分，未提供者不得分。 注：业绩证明材料须提供项目合同复印件并加盖公章，时间以合同签订时间为准。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