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版本号：HDFX-2026-Z07720260403001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农村环境整治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HDFX-2026-Z077</w:t>
      </w:r>
      <w:r>
        <w:br/>
      </w:r>
      <w:r>
        <w:br/>
      </w:r>
      <w:r>
        <w:br/>
      </w:r>
    </w:p>
    <w:p>
      <w:pPr>
        <w:pStyle w:val="null3"/>
        <w:jc w:val="center"/>
        <w:outlineLvl w:val="2"/>
      </w:pPr>
      <w:r>
        <w:rPr>
          <w:rFonts w:ascii="仿宋_GB2312" w:hAnsi="仿宋_GB2312" w:cs="仿宋_GB2312" w:eastAsia="仿宋_GB2312"/>
          <w:sz w:val="28"/>
          <w:b/>
        </w:rPr>
        <w:t>西安市临潼区小金街道办事处</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西安市临潼区小金街道办事处</w:t>
      </w:r>
      <w:r>
        <w:rPr>
          <w:rFonts w:ascii="仿宋_GB2312" w:hAnsi="仿宋_GB2312" w:cs="仿宋_GB2312" w:eastAsia="仿宋_GB2312"/>
        </w:rPr>
        <w:t>委托，拟对</w:t>
      </w:r>
      <w:r>
        <w:rPr>
          <w:rFonts w:ascii="仿宋_GB2312" w:hAnsi="仿宋_GB2312" w:cs="仿宋_GB2312" w:eastAsia="仿宋_GB2312"/>
        </w:rPr>
        <w:t>农村环境整治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HDFX-2026-Z077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农村环境整治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1、日常清扫：包括但不限于主干道、村道、广场等公共区域的清扫及日常保洁工作； 2、垃圾收集及清扫：包括生活垃圾的清扫、收集及转运； 3、垃圾分类：按照上级部门的工作安排对生活垃圾分类，按照要求进行分类、收集和转运； 4、公共设施清洁：包括但不限于垃圾桶、垃圾箱、垃圾临时收集点等公共设施的清洁 5、特殊事件服务：包括但不限于重大节日、活动期间的额外清洁服务； 6、临时性服务：包括但不限于临时性安排的生活垃圾清扫保洁及治理工作任务。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采购包1（农村环境整治）：属于专门面向中小企业采购。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基本资格条件承诺函：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招标文件第六章竞争性磋商响应文件格式。不提供《基本资格条件承诺函》的供应商须按照供应商特殊资格要求提供相关资格证明文件。</w:t>
      </w:r>
    </w:p>
    <w:p>
      <w:pPr>
        <w:pStyle w:val="null3"/>
      </w:pPr>
      <w:r>
        <w:rPr>
          <w:rFonts w:ascii="仿宋_GB2312" w:hAnsi="仿宋_GB2312" w:cs="仿宋_GB2312" w:eastAsia="仿宋_GB2312"/>
        </w:rPr>
        <w:t>2、有效的主体资格证明：具有独立承担民事责任能力的法人，其他组织或自然人，并出具合法有效的统一社会信用代码的营业执照或事业单位法人证书等国家规定的相关证明，自然人参与地提供其身份证明。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3、法定代表人授权书：法定代表人参加投标的，须提供法定代表人身份证明；法定代表人授权他人参加投标的，须提供法定代表人授权委托书。（法定代表人参加只需提供法定代表人身份证明）</w:t>
      </w:r>
    </w:p>
    <w:p>
      <w:pPr>
        <w:pStyle w:val="null3"/>
      </w:pPr>
      <w:r>
        <w:rPr>
          <w:rFonts w:ascii="仿宋_GB2312" w:hAnsi="仿宋_GB2312" w:cs="仿宋_GB2312" w:eastAsia="仿宋_GB2312"/>
        </w:rPr>
        <w:t>4、财务状况报告：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p>
      <w:pPr>
        <w:pStyle w:val="null3"/>
      </w:pPr>
      <w:r>
        <w:rPr>
          <w:rFonts w:ascii="仿宋_GB2312" w:hAnsi="仿宋_GB2312" w:cs="仿宋_GB2312" w:eastAsia="仿宋_GB2312"/>
        </w:rPr>
        <w:t>5、社保保障资金缴纳证明：提供投标截止时间前十二个月内至少一个月的社会保障资金缴存单据或社保机构开具的社会保险参保缴费情况证明，依法不需要缴纳社会保障资金的单位应提供相关证明材料。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7、无重大违法记录声明：参加政府采购活动前3年内，在经营活动中没有重大违法记录的书面声明。</w:t>
      </w:r>
    </w:p>
    <w:p>
      <w:pPr>
        <w:pStyle w:val="null3"/>
      </w:pPr>
      <w:r>
        <w:rPr>
          <w:rFonts w:ascii="仿宋_GB2312" w:hAnsi="仿宋_GB2312" w:cs="仿宋_GB2312" w:eastAsia="仿宋_GB2312"/>
        </w:rPr>
        <w:t>8、履行合同的书面承诺：承诺具备履行合同所必需的设备和专业技术能力。</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10、非联合体声明函：本项目不接受联合体投标。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西安市临潼区小金街道办事处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陕西省西安市临潼区小金街1号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临潼区小金街道办事处经办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029-83949508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西安市未央区朱宏路福清商会大厦11楼1101室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2、服务费参照《国家计委关于印发&lt;招标代理服务收费管理暂行办法&gt;的通知》（计价格[2002]1980号）规定收取。若代理服务费不足5000元按5000元收取。3、成交单位服务费交纳信息： 银行户名：陕西华达峰信项目管理有限公司 开户银行：中国工商银行股份有限公司西安未央支行 账 号：3700 0340 0910 0001 556 行 号：102 791 000 525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西安市临潼区小金街道办事处</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西安市临潼区小金街道办事处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西安市临潼区小金街道办事处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1）由采购人组织或委托相关部门服务期间进行现场巡检、验收。 2）验收依据：合同文本、合同附件、采购文件及响应文件。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地址：陕西省西安市未央区朱宏路福清商会大厦11层1101室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1、日常清扫：包括但不限于主干道、村道、广场等公共区域的清扫及日常保洁工作； 2、垃圾收集及清扫：包括生活垃圾的清扫、收集及转运； 3、垃圾分类：按照上级部门的工作安排对生活垃圾分类，按照要求进行分类、收集和转运； 4、公共设施清洁：包括但不限于垃圾桶、垃圾箱、垃圾临时收集点等公共设施的清洁 5、特殊事件服务：包括但不限于重大节日、活动期间的额外清洁服务； 6、临时性服务：包括但不限于临时性安排的生活垃圾清扫保洁及治理工作任务。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396,000.00</w:t>
      </w:r>
    </w:p>
    <w:p>
      <w:pPr>
        <w:pStyle w:val="null3"/>
      </w:pPr>
      <w:r>
        <w:rPr>
          <w:rFonts w:ascii="仿宋_GB2312" w:hAnsi="仿宋_GB2312" w:cs="仿宋_GB2312" w:eastAsia="仿宋_GB2312"/>
        </w:rPr>
        <w:t>采购包最高限价（元）: 396,000.00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农村环境卫生整治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标的名称：农村环境卫生整治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72"/>
              <w:jc w:val="both"/>
            </w:pPr>
            <w:r>
              <w:rPr>
                <w:rFonts w:ascii="仿宋_GB2312" w:hAnsi="仿宋_GB2312" w:cs="仿宋_GB2312" w:eastAsia="仿宋_GB2312"/>
                <w:sz w:val="24"/>
                <w:b/>
              </w:rPr>
              <w:t>一、服务内容</w:t>
            </w:r>
          </w:p>
          <w:p>
            <w:pPr>
              <w:pStyle w:val="null3"/>
              <w:ind w:firstLine="411"/>
              <w:jc w:val="both"/>
            </w:pPr>
            <w:r>
              <w:rPr>
                <w:rFonts w:ascii="仿宋_GB2312" w:hAnsi="仿宋_GB2312" w:cs="仿宋_GB2312" w:eastAsia="仿宋_GB2312"/>
                <w:sz w:val="21"/>
              </w:rPr>
              <w:t>1、日常清扫：包括但不限于主干道、村道、广场等公共区域的清扫及日常保洁工作；</w:t>
            </w:r>
          </w:p>
          <w:p>
            <w:pPr>
              <w:pStyle w:val="null3"/>
              <w:ind w:firstLine="411"/>
              <w:jc w:val="both"/>
            </w:pPr>
            <w:r>
              <w:rPr>
                <w:rFonts w:ascii="仿宋_GB2312" w:hAnsi="仿宋_GB2312" w:cs="仿宋_GB2312" w:eastAsia="仿宋_GB2312"/>
                <w:sz w:val="21"/>
              </w:rPr>
              <w:t>2、垃圾收集及清扫：包括生活垃圾的清扫、收集及转运；</w:t>
            </w:r>
          </w:p>
          <w:p>
            <w:pPr>
              <w:pStyle w:val="null3"/>
              <w:ind w:firstLine="411"/>
              <w:jc w:val="both"/>
            </w:pPr>
            <w:r>
              <w:rPr>
                <w:rFonts w:ascii="仿宋_GB2312" w:hAnsi="仿宋_GB2312" w:cs="仿宋_GB2312" w:eastAsia="仿宋_GB2312"/>
                <w:sz w:val="21"/>
              </w:rPr>
              <w:t>3、垃圾分类：按照上级部门的工作安排对生活垃圾分类，按照要求进行分类、收集和转运；</w:t>
            </w:r>
          </w:p>
          <w:p>
            <w:pPr>
              <w:pStyle w:val="null3"/>
              <w:ind w:firstLine="420"/>
              <w:jc w:val="both"/>
            </w:pPr>
            <w:r>
              <w:rPr>
                <w:rFonts w:ascii="仿宋_GB2312" w:hAnsi="仿宋_GB2312" w:cs="仿宋_GB2312" w:eastAsia="仿宋_GB2312"/>
                <w:sz w:val="21"/>
              </w:rPr>
              <w:t>4、公共设施清洁：包括但不限于垃圾桶、垃圾箱、垃圾临时收集点等公共设施的清洁</w:t>
            </w:r>
          </w:p>
          <w:p>
            <w:pPr>
              <w:pStyle w:val="null3"/>
              <w:ind w:firstLine="411"/>
              <w:jc w:val="both"/>
            </w:pPr>
            <w:r>
              <w:rPr>
                <w:rFonts w:ascii="仿宋_GB2312" w:hAnsi="仿宋_GB2312" w:cs="仿宋_GB2312" w:eastAsia="仿宋_GB2312"/>
                <w:sz w:val="21"/>
              </w:rPr>
              <w:t>5、特殊事件服务：包括但不限于重大节日、活动期间的额外清洁服务；</w:t>
            </w:r>
          </w:p>
          <w:p>
            <w:pPr>
              <w:pStyle w:val="null3"/>
              <w:ind w:firstLine="420"/>
              <w:jc w:val="both"/>
            </w:pPr>
            <w:r>
              <w:rPr>
                <w:rFonts w:ascii="仿宋_GB2312" w:hAnsi="仿宋_GB2312" w:cs="仿宋_GB2312" w:eastAsia="仿宋_GB2312"/>
                <w:sz w:val="21"/>
              </w:rPr>
              <w:t>6、临时性服务：包括但不限于临时性安排的生活垃圾清扫保洁及治理工作任务；</w:t>
            </w:r>
          </w:p>
          <w:p>
            <w:pPr>
              <w:pStyle w:val="null3"/>
              <w:ind w:firstLine="413"/>
              <w:jc w:val="both"/>
            </w:pPr>
            <w:r>
              <w:rPr>
                <w:rFonts w:ascii="仿宋_GB2312" w:hAnsi="仿宋_GB2312" w:cs="仿宋_GB2312" w:eastAsia="仿宋_GB2312"/>
                <w:sz w:val="21"/>
                <w:b/>
              </w:rPr>
              <w:t>二</w:t>
            </w:r>
            <w:r>
              <w:rPr>
                <w:rFonts w:ascii="仿宋_GB2312" w:hAnsi="仿宋_GB2312" w:cs="仿宋_GB2312" w:eastAsia="仿宋_GB2312"/>
                <w:sz w:val="21"/>
                <w:b/>
              </w:rPr>
              <w:t>、环卫作业的标准规定及质量标准</w:t>
            </w:r>
          </w:p>
          <w:p>
            <w:pPr>
              <w:pStyle w:val="null3"/>
              <w:ind w:firstLine="411"/>
              <w:jc w:val="both"/>
            </w:pPr>
            <w:r>
              <w:rPr>
                <w:rFonts w:ascii="仿宋_GB2312" w:hAnsi="仿宋_GB2312" w:cs="仿宋_GB2312" w:eastAsia="仿宋_GB2312"/>
                <w:sz w:val="21"/>
              </w:rPr>
              <w:t>依据《城市市容和环境卫生管理条例》（国务院第</w:t>
            </w:r>
            <w:r>
              <w:rPr>
                <w:rFonts w:ascii="仿宋_GB2312" w:hAnsi="仿宋_GB2312" w:cs="仿宋_GB2312" w:eastAsia="仿宋_GB2312"/>
                <w:sz w:val="21"/>
              </w:rPr>
              <w:t>101号令）、建设部《城市环境卫生质量标准》（建城[1997]21号）、《陕西省城乡市容环境卫生条例》、《陕西省卫生县城检查验收及评分标准》</w:t>
            </w:r>
            <w:r>
              <w:rPr>
                <w:rFonts w:ascii="仿宋_GB2312" w:hAnsi="仿宋_GB2312" w:cs="仿宋_GB2312" w:eastAsia="仿宋_GB2312"/>
                <w:sz w:val="21"/>
                <w:color w:val="FF0000"/>
              </w:rPr>
              <w:t>，</w:t>
            </w:r>
            <w:r>
              <w:rPr>
                <w:rFonts w:ascii="仿宋_GB2312" w:hAnsi="仿宋_GB2312" w:cs="仿宋_GB2312" w:eastAsia="仿宋_GB2312"/>
                <w:sz w:val="21"/>
              </w:rPr>
              <w:t>以及</w:t>
            </w:r>
            <w:r>
              <w:rPr>
                <w:rFonts w:ascii="仿宋_GB2312" w:hAnsi="仿宋_GB2312" w:cs="仿宋_GB2312" w:eastAsia="仿宋_GB2312"/>
                <w:sz w:val="21"/>
              </w:rPr>
              <w:t>临潼区</w:t>
            </w:r>
            <w:r>
              <w:rPr>
                <w:rFonts w:ascii="仿宋_GB2312" w:hAnsi="仿宋_GB2312" w:cs="仿宋_GB2312" w:eastAsia="仿宋_GB2312"/>
                <w:sz w:val="21"/>
              </w:rPr>
              <w:t>农村环境卫生作业的相关工作要求提出相应作业标准，具体如下</w:t>
            </w:r>
            <w:r>
              <w:rPr>
                <w:rFonts w:ascii="仿宋_GB2312" w:hAnsi="仿宋_GB2312" w:cs="仿宋_GB2312" w:eastAsia="仿宋_GB2312"/>
                <w:sz w:val="21"/>
              </w:rPr>
              <w:t>：</w:t>
            </w:r>
          </w:p>
          <w:p>
            <w:pPr>
              <w:pStyle w:val="null3"/>
              <w:ind w:firstLine="411"/>
              <w:jc w:val="both"/>
            </w:pPr>
            <w:r>
              <w:rPr>
                <w:rFonts w:ascii="仿宋_GB2312" w:hAnsi="仿宋_GB2312" w:cs="仿宋_GB2312" w:eastAsia="仿宋_GB2312"/>
                <w:sz w:val="21"/>
              </w:rPr>
              <w:t>1.</w:t>
            </w:r>
            <w:r>
              <w:rPr>
                <w:rFonts w:ascii="仿宋_GB2312" w:hAnsi="仿宋_GB2312" w:cs="仿宋_GB2312" w:eastAsia="仿宋_GB2312"/>
                <w:sz w:val="21"/>
              </w:rPr>
              <w:t>农村清扫保洁作业要求</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主干道实行实行</w:t>
            </w:r>
            <w:r>
              <w:rPr>
                <w:rFonts w:ascii="仿宋_GB2312" w:hAnsi="仿宋_GB2312" w:cs="仿宋_GB2312" w:eastAsia="仿宋_GB2312"/>
                <w:sz w:val="21"/>
              </w:rPr>
              <w:t>2次/日普扫，（08:00前完成首次普扫，15:00前完成二次普扫）、全日保洁。村内路面、边沟、树池、路面至墙根实行无缝隙保洁，保持镇村农村主街、绿化带无杂草、无垃圾、无人畜粪便、无碎砖瓦泥土、无塑料袋、无污染积水等，保持路面干净、路缘石干净、树池干净、落水井口干净、沟眼干净、排水沟干净、人行道卫生整洁。</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村内背街小巷：</w:t>
            </w:r>
            <w:r>
              <w:rPr>
                <w:rFonts w:ascii="仿宋_GB2312" w:hAnsi="仿宋_GB2312" w:cs="仿宋_GB2312" w:eastAsia="仿宋_GB2312"/>
                <w:sz w:val="21"/>
              </w:rPr>
              <w:t>1天普扫一次，巷道两侧无生活垃圾、建筑垃圾和环境污染现象，无积水污泥。</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垃圾收集容器外和周围无暴露垃圾，保持垃圾桶洁净，随脏随擦洗，定期进行灭蝇、除异味等工作。</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严禁焚烧垃圾、树叶，不向绿化带倾倒垃圾、尘土。</w:t>
            </w:r>
          </w:p>
          <w:p>
            <w:pPr>
              <w:pStyle w:val="null3"/>
              <w:ind w:firstLine="411"/>
              <w:jc w:val="both"/>
            </w:pPr>
            <w:r>
              <w:rPr>
                <w:rFonts w:ascii="仿宋_GB2312" w:hAnsi="仿宋_GB2312" w:cs="仿宋_GB2312" w:eastAsia="仿宋_GB2312"/>
                <w:sz w:val="21"/>
              </w:rPr>
              <w:t>2.</w:t>
            </w:r>
            <w:r>
              <w:rPr>
                <w:rFonts w:ascii="仿宋_GB2312" w:hAnsi="仿宋_GB2312" w:cs="仿宋_GB2312" w:eastAsia="仿宋_GB2312"/>
                <w:sz w:val="21"/>
              </w:rPr>
              <w:t>垃圾收运作业标准</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生活垃圾日产日清，无垃圾积压、满溢外露等现象；</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收运过程中保证</w:t>
            </w:r>
            <w:r>
              <w:rPr>
                <w:rFonts w:ascii="仿宋_GB2312" w:hAnsi="仿宋_GB2312" w:cs="仿宋_GB2312" w:eastAsia="仿宋_GB2312"/>
                <w:sz w:val="21"/>
              </w:rPr>
              <w:t>“垃圾不落地”，无遗漏、无撒漏、无渗滤液滴漏等，避免造成二次污染；</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垃圾收运作业完成后，做到车走地净、容器复位；</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垃圾运输车辆应车容整洁，密闭清运。</w:t>
            </w:r>
          </w:p>
          <w:p>
            <w:pPr>
              <w:pStyle w:val="null3"/>
              <w:ind w:firstLine="411"/>
              <w:jc w:val="both"/>
            </w:pPr>
            <w:r>
              <w:rPr>
                <w:rFonts w:ascii="仿宋_GB2312" w:hAnsi="仿宋_GB2312" w:cs="仿宋_GB2312" w:eastAsia="仿宋_GB2312"/>
                <w:sz w:val="21"/>
              </w:rPr>
              <w:t>3</w:t>
            </w:r>
            <w:r>
              <w:rPr>
                <w:rFonts w:ascii="仿宋_GB2312" w:hAnsi="仿宋_GB2312" w:cs="仿宋_GB2312" w:eastAsia="仿宋_GB2312"/>
                <w:sz w:val="21"/>
              </w:rPr>
              <w:t>.垃圾收运作业要求</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保洁员应身着统一工作服，佩戴口罩和防护手套，做好劳保防护措施。采用垃圾收集车、垃圾箱收集垃圾，并定时对收运车辆及垃圾箱进行清洗、消毒，保证收运过程无污染，做到</w:t>
            </w:r>
            <w:r>
              <w:rPr>
                <w:rFonts w:ascii="仿宋_GB2312" w:hAnsi="仿宋_GB2312" w:cs="仿宋_GB2312" w:eastAsia="仿宋_GB2312"/>
                <w:sz w:val="21"/>
              </w:rPr>
              <w:t>“垃圾不落地”，全密闭收运，避免造成二次污染。</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垃圾收运车沿固定路线收运，保洁员必须相互配合及时收集和倾倒生活垃圾；在生活垃圾运输过程中无垃圾扬、撒、拖挂和污水滴漏，按要求直接运往指定生活垃圾处理设施，不得中途随意乱倒、乱卸、乱抛垃圾。垃圾箱无残缺、破损，封闭性好，外体干净。</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确保垃圾收运及时，保洁员必须按时收集、清掏，不得长时间堆积、满溢，影响市容环境。每次生活垃圾收集作业完成以后，将垃圾箱地面清扫或清洗干净，做到车走地净，无散落垃圾和堆积杂物，无积留污水。</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装卸垃圾符合作业要求，避免在居民住宅附近装运垃圾，作业时注意减少噪声。</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装卸垃圾时，车辆应注意避让行人、车辆，及时将垃圾箱放回原处，摆放整齐。停车装卸垃圾时，应设置醒目的安全警示标志，并做好防护措施。</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垃圾收集作业时应做到文明、安全和有序，最大限度地减少对环境的污染和对公众生活的影响。</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垃圾收集车辆出车前应进行车辆检查，发现故障及时排除，确保车况良好；作业完毕后，应对车辆进行清洗，车体外表无污迹、灰垢，保持车容车貌整洁</w:t>
            </w:r>
            <w:r>
              <w:rPr>
                <w:rFonts w:ascii="仿宋_GB2312" w:hAnsi="仿宋_GB2312" w:cs="仿宋_GB2312" w:eastAsia="仿宋_GB2312"/>
                <w:sz w:val="21"/>
              </w:rPr>
              <w:t>,并进行消毒和维护工作。</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安全作业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1）清扫保洁人员应进行培训，考核合格后上岗</w:t>
            </w:r>
            <w:r>
              <w:rPr>
                <w:rFonts w:ascii="仿宋_GB2312" w:hAnsi="仿宋_GB2312" w:cs="仿宋_GB2312" w:eastAsia="仿宋_GB2312"/>
                <w:sz w:val="21"/>
              </w:rPr>
              <w:t>，</w:t>
            </w:r>
            <w:r>
              <w:rPr>
                <w:rFonts w:ascii="仿宋_GB2312" w:hAnsi="仿宋_GB2312" w:cs="仿宋_GB2312" w:eastAsia="仿宋_GB2312"/>
                <w:sz w:val="21"/>
              </w:rPr>
              <w:t>定期组织安全教育培训。应建立健全安全生产管理制度，落实安全生产责任人，完善三级安全教育，并有完整的检查记录。环卫作业单位应对在岗作业人员定期进行安全教育和技能等相关培训并考核。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2）保洁员要根据路段的人、车流情况，合理安排作业时间和方式，主动避开行人和车流高峰，以免发生意外。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3）保洁员在清扫和保洁时，应按车行线反方向清扫，特别在清扫中间护拦时要提高警觉，注意来车。保洁三轮车不能太靠近车行线停放。清理主车道上的成堆的泥土时，应根据实际情况在作业点 30m~50m 外放置警示桶，迎着车辆来驶方向操作，发现不安全迹象时应立即采取避让措施；遇道路抛撒、路面大面积污染等突发状况清扫时，距清扫点来车方向 50m~100m 处应设置警示牌</w:t>
            </w:r>
            <w:r>
              <w:rPr>
                <w:rFonts w:ascii="仿宋_GB2312" w:hAnsi="仿宋_GB2312" w:cs="仿宋_GB2312" w:eastAsia="仿宋_GB2312"/>
                <w:sz w:val="21"/>
              </w:rPr>
              <w:t>。</w:t>
            </w:r>
          </w:p>
          <w:p>
            <w:pPr>
              <w:pStyle w:val="null3"/>
              <w:ind w:firstLine="457"/>
              <w:jc w:val="both"/>
            </w:pPr>
            <w:r>
              <w:rPr>
                <w:rFonts w:ascii="仿宋_GB2312" w:hAnsi="仿宋_GB2312" w:cs="仿宋_GB2312" w:eastAsia="仿宋_GB2312"/>
                <w:sz w:val="21"/>
              </w:rPr>
              <w:t>（</w:t>
            </w:r>
            <w:r>
              <w:rPr>
                <w:rFonts w:ascii="仿宋_GB2312" w:hAnsi="仿宋_GB2312" w:cs="仿宋_GB2312" w:eastAsia="仿宋_GB2312"/>
                <w:sz w:val="21"/>
              </w:rPr>
              <w:t>4）文明作业：各时间段作业要严格按照要求作业（工具对口），垃圾及时清理集中转运，不得焚烧树叶、垃圾。</w:t>
            </w:r>
          </w:p>
          <w:p>
            <w:pPr>
              <w:pStyle w:val="null3"/>
              <w:ind w:firstLine="457"/>
              <w:jc w:val="both"/>
            </w:pPr>
            <w:r>
              <w:rPr>
                <w:rFonts w:ascii="仿宋_GB2312" w:hAnsi="仿宋_GB2312" w:cs="仿宋_GB2312" w:eastAsia="仿宋_GB2312"/>
                <w:sz w:val="21"/>
              </w:rPr>
              <w:t>（</w:t>
            </w:r>
            <w:r>
              <w:rPr>
                <w:rFonts w:ascii="仿宋_GB2312" w:hAnsi="仿宋_GB2312" w:cs="仿宋_GB2312" w:eastAsia="仿宋_GB2312"/>
                <w:sz w:val="21"/>
              </w:rPr>
              <w:t>5）作业时，保洁工具不应在道路上随意摆放影响交通、市容。</w:t>
            </w:r>
          </w:p>
          <w:p>
            <w:pPr>
              <w:pStyle w:val="null3"/>
              <w:ind w:firstLine="457"/>
              <w:jc w:val="both"/>
            </w:pPr>
            <w:r>
              <w:rPr>
                <w:rFonts w:ascii="仿宋_GB2312" w:hAnsi="仿宋_GB2312" w:cs="仿宋_GB2312" w:eastAsia="仿宋_GB2312"/>
                <w:sz w:val="21"/>
              </w:rPr>
              <w:t>（</w:t>
            </w:r>
            <w:r>
              <w:rPr>
                <w:rFonts w:ascii="仿宋_GB2312" w:hAnsi="仿宋_GB2312" w:cs="仿宋_GB2312" w:eastAsia="仿宋_GB2312"/>
                <w:sz w:val="21"/>
              </w:rPr>
              <w:t>6）机械清扫保洁车辆应配备灭火器、反光三角板等。</w:t>
            </w:r>
          </w:p>
          <w:p>
            <w:pPr>
              <w:pStyle w:val="null3"/>
              <w:ind w:firstLine="457"/>
              <w:jc w:val="both"/>
            </w:pPr>
            <w:r>
              <w:rPr>
                <w:rFonts w:ascii="仿宋_GB2312" w:hAnsi="仿宋_GB2312" w:cs="仿宋_GB2312" w:eastAsia="仿宋_GB2312"/>
                <w:sz w:val="21"/>
              </w:rPr>
              <w:t>（</w:t>
            </w:r>
            <w:r>
              <w:rPr>
                <w:rFonts w:ascii="仿宋_GB2312" w:hAnsi="仿宋_GB2312" w:cs="仿宋_GB2312" w:eastAsia="仿宋_GB2312"/>
                <w:sz w:val="21"/>
              </w:rPr>
              <w:t>7）不应在车体外悬挂物体，在保洁三轮车上挂放工具时，宽度不得超过车厢宽度，长度不得超出车 厢总长度 50cm（大扫把除外）。</w:t>
            </w:r>
          </w:p>
          <w:p>
            <w:pPr>
              <w:pStyle w:val="null3"/>
              <w:ind w:firstLine="457"/>
              <w:jc w:val="both"/>
            </w:pPr>
            <w:r>
              <w:rPr>
                <w:rFonts w:ascii="仿宋_GB2312" w:hAnsi="仿宋_GB2312" w:cs="仿宋_GB2312" w:eastAsia="仿宋_GB2312"/>
                <w:sz w:val="21"/>
              </w:rPr>
              <w:t>（</w:t>
            </w:r>
            <w:r>
              <w:rPr>
                <w:rFonts w:ascii="仿宋_GB2312" w:hAnsi="仿宋_GB2312" w:cs="仿宋_GB2312" w:eastAsia="仿宋_GB2312"/>
                <w:sz w:val="21"/>
              </w:rPr>
              <w:t>8）车辆驾驶员应密切关注路况，严格控制车速、行车间距，保证作业安全，防止发生意外。</w:t>
            </w:r>
          </w:p>
          <w:p>
            <w:pPr>
              <w:pStyle w:val="null3"/>
              <w:ind w:firstLine="457"/>
              <w:jc w:val="both"/>
            </w:pPr>
            <w:r>
              <w:rPr>
                <w:rFonts w:ascii="仿宋_GB2312" w:hAnsi="仿宋_GB2312" w:cs="仿宋_GB2312" w:eastAsia="仿宋_GB2312"/>
                <w:sz w:val="21"/>
              </w:rPr>
              <w:t>（</w:t>
            </w:r>
            <w:r>
              <w:rPr>
                <w:rFonts w:ascii="仿宋_GB2312" w:hAnsi="仿宋_GB2312" w:cs="仿宋_GB2312" w:eastAsia="仿宋_GB2312"/>
                <w:sz w:val="21"/>
              </w:rPr>
              <w:t>10）冬季作业时，根据道路状况车辆应加装防滑链并确保车况良好，清扫保洁人员作业时应注意防冻、防滑。</w:t>
            </w:r>
          </w:p>
          <w:p>
            <w:pPr>
              <w:pStyle w:val="null3"/>
              <w:ind w:firstLine="457"/>
              <w:jc w:val="both"/>
            </w:pPr>
            <w:r>
              <w:rPr>
                <w:rFonts w:ascii="仿宋_GB2312" w:hAnsi="仿宋_GB2312" w:cs="仿宋_GB2312" w:eastAsia="仿宋_GB2312"/>
                <w:sz w:val="21"/>
              </w:rPr>
              <w:t>（</w:t>
            </w:r>
            <w:r>
              <w:rPr>
                <w:rFonts w:ascii="仿宋_GB2312" w:hAnsi="仿宋_GB2312" w:cs="仿宋_GB2312" w:eastAsia="仿宋_GB2312"/>
                <w:sz w:val="21"/>
              </w:rPr>
              <w:t>11）环境能见度小于300m时不可在机动车道作业；环境能见度小于100m时暂停全部作业。如处理突 发事件时应开启雾灯、放置警示牌等确保安全。</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重大活动、节假日及突发情况的环卫保洁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承诺中标后</w:t>
            </w:r>
            <w:r>
              <w:rPr>
                <w:rFonts w:ascii="仿宋_GB2312" w:hAnsi="仿宋_GB2312" w:cs="仿宋_GB2312" w:eastAsia="仿宋_GB2312"/>
                <w:sz w:val="21"/>
              </w:rPr>
              <w:t>建立一支临时应急小分队（</w:t>
            </w:r>
            <w:r>
              <w:rPr>
                <w:rFonts w:ascii="仿宋_GB2312" w:hAnsi="仿宋_GB2312" w:cs="仿宋_GB2312" w:eastAsia="仿宋_GB2312"/>
                <w:sz w:val="21"/>
              </w:rPr>
              <w:t>10-15人），适时延长作业时间.以满足重大活动、节假日的需要，根据具体情况和不同要求标准，配合相关部门，做好重大活动、节假日的环卫保洁工作。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2）大型活动期间实行不断岗、无缝隙巡回保洁作业。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3）农村道路、重点时段宜强化清扫、保洁作业。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4）垃圾应及时清运，不得堆存。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5）保洁人员发现突发状况应立即向上级主管部门汇报，及时放置警示标志，摆放安全锥桶，并等待应急人员的到位。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6）应急人员到位后，按照应急预案对现场进行清理、清扫，恢复路面干净、整洁。</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.劳动保障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1）中标单位（</w:t>
            </w:r>
            <w:r>
              <w:rPr>
                <w:rFonts w:ascii="仿宋_GB2312" w:hAnsi="仿宋_GB2312" w:cs="仿宋_GB2312" w:eastAsia="仿宋_GB2312"/>
                <w:sz w:val="21"/>
              </w:rPr>
              <w:t>供应商</w:t>
            </w:r>
            <w:r>
              <w:rPr>
                <w:rFonts w:ascii="仿宋_GB2312" w:hAnsi="仿宋_GB2312" w:cs="仿宋_GB2312" w:eastAsia="仿宋_GB2312"/>
                <w:sz w:val="21"/>
              </w:rPr>
              <w:t>）须与保洁员签订劳动合同。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2）中标单位（</w:t>
            </w:r>
            <w:r>
              <w:rPr>
                <w:rFonts w:ascii="仿宋_GB2312" w:hAnsi="仿宋_GB2312" w:cs="仿宋_GB2312" w:eastAsia="仿宋_GB2312"/>
                <w:sz w:val="21"/>
              </w:rPr>
              <w:t>供应商</w:t>
            </w:r>
            <w:r>
              <w:rPr>
                <w:rFonts w:ascii="仿宋_GB2312" w:hAnsi="仿宋_GB2312" w:cs="仿宋_GB2312" w:eastAsia="仿宋_GB2312"/>
                <w:sz w:val="21"/>
              </w:rPr>
              <w:t>）应向保洁员按时全额发放工资、福利。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3）中标单位（</w:t>
            </w:r>
            <w:r>
              <w:rPr>
                <w:rFonts w:ascii="仿宋_GB2312" w:hAnsi="仿宋_GB2312" w:cs="仿宋_GB2312" w:eastAsia="仿宋_GB2312"/>
                <w:sz w:val="21"/>
              </w:rPr>
              <w:t>供应商</w:t>
            </w:r>
            <w:r>
              <w:rPr>
                <w:rFonts w:ascii="仿宋_GB2312" w:hAnsi="仿宋_GB2312" w:cs="仿宋_GB2312" w:eastAsia="仿宋_GB2312"/>
                <w:sz w:val="21"/>
              </w:rPr>
              <w:t>）须按照上级部门要求为保洁员</w:t>
            </w:r>
            <w:r>
              <w:rPr>
                <w:rFonts w:ascii="仿宋_GB2312" w:hAnsi="仿宋_GB2312" w:cs="仿宋_GB2312" w:eastAsia="仿宋_GB2312"/>
                <w:sz w:val="21"/>
              </w:rPr>
              <w:t>及其他人员</w:t>
            </w:r>
            <w:r>
              <w:rPr>
                <w:rFonts w:ascii="仿宋_GB2312" w:hAnsi="仿宋_GB2312" w:cs="仿宋_GB2312" w:eastAsia="仿宋_GB2312"/>
                <w:sz w:val="21"/>
              </w:rPr>
              <w:t>购买社会保险及人身意外保险</w:t>
            </w:r>
            <w:r>
              <w:rPr>
                <w:rFonts w:ascii="仿宋_GB2312" w:hAnsi="仿宋_GB2312" w:cs="仿宋_GB2312" w:eastAsia="仿宋_GB2312"/>
                <w:sz w:val="21"/>
              </w:rPr>
              <w:t>(意外伤亡保额不低于80万元，医疗保额不低于30万元)。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4）中标单位（</w:t>
            </w:r>
            <w:r>
              <w:rPr>
                <w:rFonts w:ascii="仿宋_GB2312" w:hAnsi="仿宋_GB2312" w:cs="仿宋_GB2312" w:eastAsia="仿宋_GB2312"/>
                <w:sz w:val="21"/>
              </w:rPr>
              <w:t>供应商</w:t>
            </w:r>
            <w:r>
              <w:rPr>
                <w:rFonts w:ascii="仿宋_GB2312" w:hAnsi="仿宋_GB2312" w:cs="仿宋_GB2312" w:eastAsia="仿宋_GB2312"/>
                <w:sz w:val="21"/>
              </w:rPr>
              <w:t>）应严格遵守和《中华人民共和国民法典》、《中华人民共和国劳动法》和《中华人民共和国劳动合同法》的相关规定，根据所承担的服务内容，与公司员工确立合法的劳动</w:t>
            </w:r>
            <w:r>
              <w:rPr>
                <w:rFonts w:ascii="仿宋_GB2312" w:hAnsi="仿宋_GB2312" w:cs="仿宋_GB2312" w:eastAsia="仿宋_GB2312"/>
                <w:sz w:val="21"/>
              </w:rPr>
              <w:t>/劳务关系，签订正式用工合同，规范用工行为，保障员工合法权益。</w:t>
            </w:r>
          </w:p>
          <w:p>
            <w:pPr>
              <w:pStyle w:val="null3"/>
              <w:ind w:firstLine="411"/>
              <w:jc w:val="both"/>
            </w:pPr>
            <w:r>
              <w:rPr>
                <w:rFonts w:ascii="仿宋_GB2312" w:hAnsi="仿宋_GB2312" w:cs="仿宋_GB2312" w:eastAsia="仿宋_GB2312"/>
                <w:sz w:val="21"/>
              </w:rPr>
              <w:t>6</w:t>
            </w:r>
            <w:r>
              <w:rPr>
                <w:rFonts w:ascii="仿宋_GB2312" w:hAnsi="仿宋_GB2312" w:cs="仿宋_GB2312" w:eastAsia="仿宋_GB2312"/>
                <w:sz w:val="21"/>
              </w:rPr>
              <w:t>.人员、设施设备的配备和管理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人员及设备配备要求：保洁人数不低于</w:t>
            </w:r>
            <w:r>
              <w:rPr>
                <w:rFonts w:ascii="仿宋_GB2312" w:hAnsi="仿宋_GB2312" w:cs="仿宋_GB2312" w:eastAsia="仿宋_GB2312"/>
                <w:sz w:val="21"/>
              </w:rPr>
              <w:t>55</w:t>
            </w:r>
            <w:r>
              <w:rPr>
                <w:rFonts w:ascii="仿宋_GB2312" w:hAnsi="仿宋_GB2312" w:cs="仿宋_GB2312" w:eastAsia="仿宋_GB2312"/>
                <w:sz w:val="21"/>
              </w:rPr>
              <w:t>人，电动三轮车（垃圾收集车）不少于</w:t>
            </w:r>
            <w:r>
              <w:rPr>
                <w:rFonts w:ascii="仿宋_GB2312" w:hAnsi="仿宋_GB2312" w:cs="仿宋_GB2312" w:eastAsia="仿宋_GB2312"/>
                <w:sz w:val="21"/>
              </w:rPr>
              <w:t>2</w:t>
            </w:r>
            <w:r>
              <w:rPr>
                <w:rFonts w:ascii="仿宋_GB2312" w:hAnsi="仿宋_GB2312" w:cs="仿宋_GB2312" w:eastAsia="仿宋_GB2312"/>
                <w:sz w:val="21"/>
              </w:rPr>
              <w:t>辆</w:t>
            </w:r>
            <w:r>
              <w:rPr>
                <w:rFonts w:ascii="仿宋_GB2312" w:hAnsi="仿宋_GB2312" w:cs="仿宋_GB2312" w:eastAsia="仿宋_GB2312"/>
                <w:sz w:val="21"/>
              </w:rPr>
              <w:t>，</w:t>
            </w:r>
            <w:r>
              <w:rPr>
                <w:rFonts w:ascii="仿宋_GB2312" w:hAnsi="仿宋_GB2312" w:cs="仿宋_GB2312" w:eastAsia="仿宋_GB2312"/>
                <w:sz w:val="21"/>
              </w:rPr>
              <w:t>勾臂车不少于</w:t>
            </w:r>
            <w:r>
              <w:rPr>
                <w:rFonts w:ascii="仿宋_GB2312" w:hAnsi="仿宋_GB2312" w:cs="仿宋_GB2312" w:eastAsia="仿宋_GB2312"/>
                <w:sz w:val="21"/>
              </w:rPr>
              <w:t>1辆，并配备具有相关驾驶证驾驶人员。</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人员根据实际工作需要可以进行增加。</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以上人员及车辆若有与服务区域农村道路通行情况或收运工作现状不符的情况，中标人须结合实际合理补充或优化人员及车辆配备方案。</w:t>
            </w:r>
          </w:p>
          <w:p>
            <w:pPr>
              <w:pStyle w:val="null3"/>
              <w:ind w:firstLine="411"/>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未按招标文件要求对车辆、人员、设备等相关条款进行配备的，</w:t>
            </w:r>
            <w:r>
              <w:rPr>
                <w:rFonts w:ascii="仿宋_GB2312" w:hAnsi="仿宋_GB2312" w:cs="仿宋_GB2312" w:eastAsia="仿宋_GB2312"/>
                <w:sz w:val="21"/>
              </w:rPr>
              <w:t>采购人</w:t>
            </w:r>
            <w:r>
              <w:rPr>
                <w:rFonts w:ascii="仿宋_GB2312" w:hAnsi="仿宋_GB2312" w:cs="仿宋_GB2312" w:eastAsia="仿宋_GB2312"/>
                <w:sz w:val="21"/>
              </w:rPr>
              <w:t>有权解除合同并追究违约责任。</w:t>
            </w:r>
          </w:p>
          <w:p>
            <w:pPr>
              <w:pStyle w:val="null3"/>
              <w:ind w:firstLine="413"/>
              <w:jc w:val="both"/>
            </w:pPr>
            <w:r>
              <w:rPr>
                <w:rFonts w:ascii="仿宋_GB2312" w:hAnsi="仿宋_GB2312" w:cs="仿宋_GB2312" w:eastAsia="仿宋_GB2312"/>
                <w:sz w:val="21"/>
                <w:b/>
              </w:rPr>
              <w:t>三、</w:t>
            </w:r>
            <w:r>
              <w:rPr>
                <w:rFonts w:ascii="仿宋_GB2312" w:hAnsi="仿宋_GB2312" w:cs="仿宋_GB2312" w:eastAsia="仿宋_GB2312"/>
                <w:sz w:val="21"/>
              </w:rPr>
              <w:t>商务要求</w:t>
            </w:r>
          </w:p>
          <w:p>
            <w:pPr>
              <w:pStyle w:val="null3"/>
              <w:ind w:firstLine="413"/>
              <w:jc w:val="both"/>
            </w:pPr>
            <w:r>
              <w:rPr>
                <w:rFonts w:ascii="仿宋_GB2312" w:hAnsi="仿宋_GB2312" w:cs="仿宋_GB2312" w:eastAsia="仿宋_GB2312"/>
                <w:sz w:val="21"/>
                <w:b/>
              </w:rPr>
              <w:t>1、服务期限及地点：</w:t>
            </w:r>
          </w:p>
          <w:p>
            <w:pPr>
              <w:pStyle w:val="null3"/>
              <w:ind w:firstLine="570"/>
              <w:jc w:val="both"/>
            </w:pPr>
            <w:r>
              <w:rPr>
                <w:rFonts w:ascii="仿宋_GB2312" w:hAnsi="仿宋_GB2312" w:cs="仿宋_GB2312" w:eastAsia="仿宋_GB2312"/>
                <w:sz w:val="21"/>
              </w:rPr>
              <w:t>1）服务期限：</w:t>
            </w:r>
            <w:r>
              <w:rPr>
                <w:rFonts w:ascii="仿宋_GB2312" w:hAnsi="仿宋_GB2312" w:cs="仿宋_GB2312" w:eastAsia="仿宋_GB2312"/>
                <w:sz w:val="21"/>
                <w:shd w:fill="FFFFFF" w:val="clear"/>
              </w:rPr>
              <w:t>合同期限自签订合同之日起</w:t>
            </w:r>
            <w:r>
              <w:rPr>
                <w:rFonts w:ascii="仿宋_GB2312" w:hAnsi="仿宋_GB2312" w:cs="仿宋_GB2312" w:eastAsia="仿宋_GB2312"/>
                <w:sz w:val="21"/>
                <w:shd w:fill="FFFFFF" w:val="clear"/>
              </w:rPr>
              <w:t>一</w:t>
            </w:r>
            <w:r>
              <w:rPr>
                <w:rFonts w:ascii="仿宋_GB2312" w:hAnsi="仿宋_GB2312" w:cs="仿宋_GB2312" w:eastAsia="仿宋_GB2312"/>
                <w:sz w:val="21"/>
                <w:shd w:fill="FFFFFF" w:val="clear"/>
              </w:rPr>
              <w:t>年</w:t>
            </w:r>
            <w:r>
              <w:rPr>
                <w:rFonts w:ascii="仿宋_GB2312" w:hAnsi="仿宋_GB2312" w:cs="仿宋_GB2312" w:eastAsia="仿宋_GB2312"/>
                <w:sz w:val="21"/>
                <w:shd w:fill="FFFFFF" w:val="clear"/>
              </w:rPr>
              <w:t>。</w:t>
            </w:r>
          </w:p>
          <w:p>
            <w:pPr>
              <w:pStyle w:val="null3"/>
              <w:ind w:firstLine="630"/>
              <w:jc w:val="both"/>
            </w:pPr>
            <w:r>
              <w:rPr>
                <w:rFonts w:ascii="仿宋_GB2312" w:hAnsi="仿宋_GB2312" w:cs="仿宋_GB2312" w:eastAsia="仿宋_GB2312"/>
                <w:sz w:val="21"/>
              </w:rPr>
              <w:t>2）服务地点：</w:t>
            </w:r>
            <w:r>
              <w:rPr>
                <w:rFonts w:ascii="仿宋_GB2312" w:hAnsi="仿宋_GB2312" w:cs="仿宋_GB2312" w:eastAsia="仿宋_GB2312"/>
                <w:sz w:val="21"/>
              </w:rPr>
              <w:t>采购人</w:t>
            </w:r>
            <w:r>
              <w:rPr>
                <w:rFonts w:ascii="仿宋_GB2312" w:hAnsi="仿宋_GB2312" w:cs="仿宋_GB2312" w:eastAsia="仿宋_GB2312"/>
                <w:sz w:val="21"/>
              </w:rPr>
              <w:t>指定地点。</w:t>
            </w:r>
          </w:p>
          <w:p>
            <w:pPr>
              <w:pStyle w:val="null3"/>
              <w:ind w:firstLine="570"/>
              <w:jc w:val="both"/>
            </w:pPr>
            <w:r>
              <w:rPr>
                <w:rFonts w:ascii="仿宋_GB2312" w:hAnsi="仿宋_GB2312" w:cs="仿宋_GB2312" w:eastAsia="仿宋_GB2312"/>
                <w:sz w:val="21"/>
                <w:b/>
              </w:rPr>
              <w:t>2、付款方式：</w:t>
            </w:r>
          </w:p>
          <w:p>
            <w:pPr>
              <w:pStyle w:val="null3"/>
              <w:ind w:firstLine="570"/>
              <w:jc w:val="both"/>
            </w:pPr>
            <w:r>
              <w:rPr>
                <w:rFonts w:ascii="仿宋_GB2312" w:hAnsi="仿宋_GB2312" w:cs="仿宋_GB2312" w:eastAsia="仿宋_GB2312"/>
                <w:sz w:val="21"/>
              </w:rPr>
              <w:t>1）付款方式：按照</w:t>
            </w:r>
            <w:r>
              <w:rPr>
                <w:rFonts w:ascii="仿宋_GB2312" w:hAnsi="仿宋_GB2312" w:cs="仿宋_GB2312" w:eastAsia="仿宋_GB2312"/>
                <w:sz w:val="21"/>
              </w:rPr>
              <w:t>采购人</w:t>
            </w:r>
            <w:r>
              <w:rPr>
                <w:rFonts w:ascii="仿宋_GB2312" w:hAnsi="仿宋_GB2312" w:cs="仿宋_GB2312" w:eastAsia="仿宋_GB2312"/>
                <w:sz w:val="21"/>
              </w:rPr>
              <w:t>服务要求完成月度工作，并根据当月考核验收情况，按月支付合同款项。</w:t>
            </w:r>
          </w:p>
          <w:p>
            <w:pPr>
              <w:pStyle w:val="null3"/>
              <w:ind w:firstLine="570"/>
              <w:jc w:val="both"/>
            </w:pPr>
            <w:r>
              <w:rPr>
                <w:rFonts w:ascii="仿宋_GB2312" w:hAnsi="仿宋_GB2312" w:cs="仿宋_GB2312" w:eastAsia="仿宋_GB2312"/>
                <w:sz w:val="21"/>
              </w:rPr>
              <w:t>2）结算方式：采取银行转账方式支付。付款前，须按照</w:t>
            </w:r>
            <w:r>
              <w:rPr>
                <w:rFonts w:ascii="仿宋_GB2312" w:hAnsi="仿宋_GB2312" w:cs="仿宋_GB2312" w:eastAsia="仿宋_GB2312"/>
                <w:sz w:val="21"/>
              </w:rPr>
              <w:t>采购人</w:t>
            </w:r>
            <w:r>
              <w:rPr>
                <w:rFonts w:ascii="仿宋_GB2312" w:hAnsi="仿宋_GB2312" w:cs="仿宋_GB2312" w:eastAsia="仿宋_GB2312"/>
                <w:sz w:val="21"/>
              </w:rPr>
              <w:t>要求提供等额发票。</w:t>
            </w:r>
          </w:p>
          <w:p>
            <w:pPr>
              <w:pStyle w:val="null3"/>
              <w:ind w:firstLine="570"/>
              <w:jc w:val="both"/>
            </w:pPr>
            <w:r>
              <w:rPr>
                <w:rFonts w:ascii="仿宋_GB2312" w:hAnsi="仿宋_GB2312" w:cs="仿宋_GB2312" w:eastAsia="仿宋_GB2312"/>
                <w:sz w:val="21"/>
              </w:rPr>
              <w:t>3）结算单位：由</w:t>
            </w:r>
            <w:r>
              <w:rPr>
                <w:rFonts w:ascii="仿宋_GB2312" w:hAnsi="仿宋_GB2312" w:cs="仿宋_GB2312" w:eastAsia="仿宋_GB2312"/>
                <w:sz w:val="21"/>
              </w:rPr>
              <w:t>采购人</w:t>
            </w:r>
            <w:r>
              <w:rPr>
                <w:rFonts w:ascii="仿宋_GB2312" w:hAnsi="仿宋_GB2312" w:cs="仿宋_GB2312" w:eastAsia="仿宋_GB2312"/>
                <w:sz w:val="21"/>
              </w:rPr>
              <w:t>负责结算，</w:t>
            </w:r>
            <w:r>
              <w:rPr>
                <w:rFonts w:ascii="仿宋_GB2312" w:hAnsi="仿宋_GB2312" w:cs="仿宋_GB2312" w:eastAsia="仿宋_GB2312"/>
                <w:sz w:val="21"/>
              </w:rPr>
              <w:t>中标人</w:t>
            </w:r>
            <w:r>
              <w:rPr>
                <w:rFonts w:ascii="仿宋_GB2312" w:hAnsi="仿宋_GB2312" w:cs="仿宋_GB2312" w:eastAsia="仿宋_GB2312"/>
                <w:sz w:val="21"/>
              </w:rPr>
              <w:t>开具相应等额发票交</w:t>
            </w:r>
            <w:r>
              <w:rPr>
                <w:rFonts w:ascii="仿宋_GB2312" w:hAnsi="仿宋_GB2312" w:cs="仿宋_GB2312" w:eastAsia="仿宋_GB2312"/>
                <w:sz w:val="21"/>
              </w:rPr>
              <w:t>采购人</w:t>
            </w:r>
            <w:r>
              <w:rPr>
                <w:rFonts w:ascii="仿宋_GB2312" w:hAnsi="仿宋_GB2312" w:cs="仿宋_GB2312" w:eastAsia="仿宋_GB2312"/>
                <w:sz w:val="21"/>
              </w:rPr>
              <w:t>。</w:t>
            </w:r>
          </w:p>
          <w:p>
            <w:pPr>
              <w:pStyle w:val="null3"/>
              <w:ind w:firstLine="413"/>
              <w:jc w:val="both"/>
            </w:pPr>
            <w:r>
              <w:rPr>
                <w:rFonts w:ascii="仿宋_GB2312" w:hAnsi="仿宋_GB2312" w:cs="仿宋_GB2312" w:eastAsia="仿宋_GB2312"/>
                <w:sz w:val="21"/>
                <w:b/>
              </w:rPr>
              <w:t>3、验收：</w:t>
            </w:r>
          </w:p>
          <w:p>
            <w:pPr>
              <w:pStyle w:val="null3"/>
              <w:ind w:firstLine="570"/>
              <w:jc w:val="both"/>
            </w:pPr>
            <w:r>
              <w:rPr>
                <w:rFonts w:ascii="仿宋_GB2312" w:hAnsi="仿宋_GB2312" w:cs="仿宋_GB2312" w:eastAsia="仿宋_GB2312"/>
                <w:sz w:val="21"/>
              </w:rPr>
              <w:t>1）由采购人组织或委托相关部门服务期间进行现场巡检、验收。</w:t>
            </w:r>
          </w:p>
          <w:p>
            <w:pPr>
              <w:pStyle w:val="null3"/>
              <w:ind w:firstLine="570"/>
              <w:jc w:val="both"/>
            </w:pPr>
            <w:r>
              <w:rPr>
                <w:rFonts w:ascii="仿宋_GB2312" w:hAnsi="仿宋_GB2312" w:cs="仿宋_GB2312" w:eastAsia="仿宋_GB2312"/>
                <w:sz w:val="21"/>
              </w:rPr>
              <w:t>2）验收依据：合同文本、合同附件、</w:t>
            </w:r>
            <w:r>
              <w:rPr>
                <w:rFonts w:ascii="仿宋_GB2312" w:hAnsi="仿宋_GB2312" w:cs="仿宋_GB2312" w:eastAsia="仿宋_GB2312"/>
                <w:sz w:val="21"/>
              </w:rPr>
              <w:t>采购</w:t>
            </w:r>
            <w:r>
              <w:rPr>
                <w:rFonts w:ascii="仿宋_GB2312" w:hAnsi="仿宋_GB2312" w:cs="仿宋_GB2312" w:eastAsia="仿宋_GB2312"/>
                <w:sz w:val="21"/>
              </w:rPr>
              <w:t>文件及</w:t>
            </w:r>
            <w:r>
              <w:rPr>
                <w:rFonts w:ascii="仿宋_GB2312" w:hAnsi="仿宋_GB2312" w:cs="仿宋_GB2312" w:eastAsia="仿宋_GB2312"/>
                <w:sz w:val="21"/>
              </w:rPr>
              <w:t>响应</w:t>
            </w:r>
            <w:r>
              <w:rPr>
                <w:rFonts w:ascii="仿宋_GB2312" w:hAnsi="仿宋_GB2312" w:cs="仿宋_GB2312" w:eastAsia="仿宋_GB2312"/>
                <w:sz w:val="21"/>
              </w:rPr>
              <w:t>文件。</w:t>
            </w:r>
          </w:p>
          <w:p>
            <w:pPr>
              <w:pStyle w:val="null3"/>
              <w:ind w:firstLine="413"/>
              <w:jc w:val="both"/>
            </w:pPr>
            <w:r>
              <w:rPr>
                <w:rFonts w:ascii="仿宋_GB2312" w:hAnsi="仿宋_GB2312" w:cs="仿宋_GB2312" w:eastAsia="仿宋_GB2312"/>
                <w:sz w:val="21"/>
                <w:b/>
              </w:rPr>
              <w:t>4、违约责任：</w:t>
            </w:r>
          </w:p>
          <w:p>
            <w:pPr>
              <w:pStyle w:val="null3"/>
              <w:ind w:firstLine="570"/>
              <w:jc w:val="both"/>
            </w:pPr>
            <w:r>
              <w:rPr>
                <w:rFonts w:ascii="仿宋_GB2312" w:hAnsi="仿宋_GB2312" w:cs="仿宋_GB2312" w:eastAsia="仿宋_GB2312"/>
                <w:sz w:val="21"/>
              </w:rPr>
              <w:t>（一）按《中华人民共和国民法典》中的相关条款执行。</w:t>
            </w:r>
          </w:p>
          <w:p>
            <w:pPr>
              <w:pStyle w:val="null3"/>
              <w:ind w:firstLine="570"/>
              <w:jc w:val="both"/>
            </w:pPr>
            <w:r>
              <w:rPr>
                <w:rFonts w:ascii="仿宋_GB2312" w:hAnsi="仿宋_GB2312" w:cs="仿宋_GB2312" w:eastAsia="仿宋_GB2312"/>
                <w:sz w:val="21"/>
              </w:rPr>
              <w:t>（二）未按合同要求提供服务或服务质量不能满足技术要求，采购人有权终止合同，并对供方违约行为进行追究，同时按《政府采购法》的有关规定进行处罚。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因系统技术原因，本项目支付方式以此处描述为准。支付方式如下：按照采购人服务要求完成月度工作，并根据当月考核验收情况，按月支付合同款项。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合同期限自签订合同之日起一年。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1）由采购人组织或委托相关部门服务期间进行现场巡检、验收。 2）验收依据：合同文本、合同附件、采购文件及响应文件。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按照采购人服务要求完成月度工作，并根据当月考核验收情况，按月支付合同款项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（二）未按合同要求提供服务或服务质量不能满足技术要求，采购人有权终止合同，并对供方违约行为进行追究，同时按《政府采购法》的有关规定进行处罚。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1、投标报价要求： （1）投标人应结合项目采购要求、自身服务能力、价格水平、服务的全周期综合成本进行报价。 （2）供应商在填报报价时应综合考虑以下各类价格组成内容，包括但不限于人工费、设备费（主材及辅材）、保险、利润、规费、税金、运输费等与之相关的一切直接费、间接费。要求的其他相关费用及本竞争性磋商文件的内容和要求作为投标依据。 2、为顺利推进政府采购电子化交易平台试点应用工作，供应商需要在线提交所有通过电子化交易平台实施的政府采购项目的响应文件，发布成交结果公告后，成交供应商应及时向采购代理机构提交一正二副，书籍（胶装）方式装订的盖章的纸质响应文件，若正本和副本不一致的，以正本为准。送至陕西省西安市未央区朱宏路福清商会大厦11楼1101室（陕西华达峰信项目管理有限公司）。 3、供应商务必在开标截止时间30分钟前，通过项目电子化交易系统进行签到，如未进行签到，产生的一起后果由供应商自行承担。 4、本项目需落实的政府采购政策：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中国人民银行西安分行关于深入推进政府采购信用融资业务通知(陕财办采〔2023〕5号)； （14）其他需执行的政府采购政策。 5、本项目为专门面向中小企业采购。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招标文件第六章竞争性磋商响应文件格式。不提供《基本资格条件承诺函》的供应商须按照供应商特殊资格要求提供相关资格证明文件。</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法定代表人参加投标的，须提供法定代表人身份证明；法定代表人授权他人参加投标的，须提供法定代表人授权委托书。（法定代表人参加只需提供法定代表人身份证明）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响应文件（格式）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磋商响应文件构成无重大缺项，按照磋商文件要求的格式编写磋商响应文件。</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磋商报价未超预算金额及最高限价。</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服务期响应磋商文件要求。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评审中出现下列情形之一的，磋商小组应当启动异常低价投标审查程序：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4）磋商小组认为供应商报价过低，有可能影响产品质量或者不能诚信履约的其他情形。</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在满足招标文件要求的前提下，供应商针对本项目提供详细的实施方案包括但不限于①工作流程及标准等；②项目实施措施。 二、赋分标准:(满分10分) 整体实施方案内容完善、全面合理、架构完整、层次清楚、具有针对性和可实施性，得10分，缺失1项扣5分。每项中每有一处不合理(不合理是指:方案不符合服务技术要求相关内容、内容错误、描述有歧义、逻辑有漏洞、表述不清)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清扫保洁方案</w:t>
            </w:r>
          </w:p>
        </w:tc>
        <w:tc>
          <w:tcPr>
            <w:tcW w:type="dxa" w:w="2492"/>
          </w:tcPr>
          <w:p>
            <w:pPr>
              <w:pStyle w:val="null3"/>
            </w:pPr>
            <w:r>
              <w:rPr>
                <w:rFonts w:ascii="仿宋_GB2312" w:hAnsi="仿宋_GB2312" w:cs="仿宋_GB2312" w:eastAsia="仿宋_GB2312"/>
              </w:rPr>
              <w:t>一、评审内容： 在满足招标文件要求的前提下，供应商针对本项目提供详细的清扫保洁方案包括但不限于①作业区域的作业内容、频次、方法等；②服务人员安排。 二、赋分标准：（满分10分） 方案内容完善、全面合理、架构完整、层次清楚、具有针对性和可实施性，得10分，缺失1项扣5分。每项中每有一处不合理(不合理是指:方案不符合服务技术要求相关内容、内容错误、描述有歧义、逻辑有漏洞、表述不清)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在满足招标文件要求的前提下，供应商针对本项目提供详细的人员配备方案包括但不限于①人员数量、分工、从业经验等；②岗位配备及职责；③人员培训（岗前培训、安全培训、定期培训）。 二、赋分标准：（满分12分） 方案内容完善、全面合理、架构完整、层次清楚、具有针对性和可实施性，得12分，缺失1项扣4分。每项中每有一处不合理(不合理是指:方案不符合服务技术要求相关内容、内容错误、描述有歧义、逻辑有漏洞、表述不清)的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服务质量措施方案</w:t>
            </w:r>
          </w:p>
        </w:tc>
        <w:tc>
          <w:tcPr>
            <w:tcW w:type="dxa" w:w="2492"/>
          </w:tcPr>
          <w:p>
            <w:pPr>
              <w:pStyle w:val="null3"/>
            </w:pPr>
            <w:r>
              <w:rPr>
                <w:rFonts w:ascii="仿宋_GB2312" w:hAnsi="仿宋_GB2312" w:cs="仿宋_GB2312" w:eastAsia="仿宋_GB2312"/>
              </w:rPr>
              <w:t>一、评审内容： 在满足招标文件要求的前提下，供应商针对本项目提供详细的服务质量措施方案包括但不限于①服务质量保障措施；②组织机构保障措施③拟投入的财力物力保障措施；④日常卫生保洁服务质量自检措施； 二、赋分标准：（满分12分） 方案内容完善、全面合理、架构完整、层次清楚、具有针对性和可实施性，得12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 在满足招标文件要求的前提下，供应商针对本项目提供详细的管理方案包括但不限于①日常维护制度；②拟投入保洁工具、消耗材料、装备、用具管理制度；③服务规章制度；④人员绩效考核办法。 二、赋分标准：（满分12分） 方案内容完善、全面合理、架构完整、层次清楚、具有针对性和可实施性，得12分，缺失1项扣3分。每项中每有一处不合理(不合理是指:方案不符合服务技术要求相关内容、内容错误、描述有歧义、逻辑有漏洞、表述不清)的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安全保障制度</w:t>
            </w:r>
          </w:p>
        </w:tc>
        <w:tc>
          <w:tcPr>
            <w:tcW w:type="dxa" w:w="2492"/>
          </w:tcPr>
          <w:p>
            <w:pPr>
              <w:pStyle w:val="null3"/>
            </w:pPr>
            <w:r>
              <w:rPr>
                <w:rFonts w:ascii="仿宋_GB2312" w:hAnsi="仿宋_GB2312" w:cs="仿宋_GB2312" w:eastAsia="仿宋_GB2312"/>
              </w:rPr>
              <w:t>一、评审内容： 在满足招标文件要求的前提下，供应商针对本项目提供详细的安全保障制度包括但不限于①人员安全；②机械操作安全；③作业安全。 二、赋分标准：（满分12分） 方案内容完善、全面合理、架构完整、层次清楚、具有针对性和可实施性，得12分，缺失1项扣4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在满足招标文件要求的前提下，供应商针对本项目提供详细的应急保障措施包括但不限于，①应对创建迎检、重大接待任务应急预案，②台风、暴雨、冰冻灾害等突发性天气影响应急预案，③其它突发性环卫任务应急预案等。 二、赋分标准：（满分12分） 方案内容完善、全面合理、架构完整、层次清楚、具有针对性和可实施性，得12分，缺失1项扣4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具有2023年1月至今类似项目业绩，每提供一项得1分，满分2分。注：以合同签订时间为准，提供合同复印件或扫描件加盖公章。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在满足招标文件要求的前提下，供应商针对本项目提供详细的服务承诺包括但不限于①服务人员的劳动保障承诺；②服务质量承诺。 二、赋分标准：（满分8分） 承诺内容完善、全面合理、架构完整、层次清楚、具有针对性和可实施性，得8分，缺失1项扣4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