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版本号：HYDZB202601120260403001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渭河临潼段堤防工程2026年维修养护项目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HYDZB2026011</w:t>
      </w:r>
      <w:r>
        <w:br/>
      </w:r>
      <w:r>
        <w:br/>
      </w:r>
      <w:r>
        <w:br/>
      </w:r>
    </w:p>
    <w:p>
      <w:pPr>
        <w:pStyle w:val="null3"/>
        <w:jc w:val="center"/>
        <w:outlineLvl w:val="2"/>
      </w:pPr>
      <w:r>
        <w:rPr>
          <w:rFonts w:ascii="仿宋_GB2312" w:hAnsi="仿宋_GB2312" w:cs="仿宋_GB2312" w:eastAsia="仿宋_GB2312"/>
          <w:sz w:val="28"/>
          <w:b/>
        </w:rPr>
        <w:t>西安市临潼区治理渭河管理站</w:t>
      </w:r>
    </w:p>
    <w:p>
      <w:pPr>
        <w:pStyle w:val="null3"/>
        <w:jc w:val="center"/>
        <w:outlineLvl w:val="2"/>
      </w:pPr>
      <w:r>
        <w:rPr>
          <w:rFonts w:ascii="仿宋_GB2312" w:hAnsi="仿宋_GB2312" w:cs="仿宋_GB2312" w:eastAsia="仿宋_GB2312"/>
          <w:sz w:val="28"/>
          <w:b/>
        </w:rPr>
        <w:t>陕西恒益鼎工程项目管理有限公司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陕西恒益鼎工程项目管理有限公司</w:t>
      </w:r>
      <w:r>
        <w:rPr>
          <w:rFonts w:ascii="仿宋_GB2312" w:hAnsi="仿宋_GB2312" w:cs="仿宋_GB2312" w:eastAsia="仿宋_GB2312"/>
        </w:rPr>
        <w:t>（以下简称“代理机构”）受</w:t>
      </w:r>
      <w:r>
        <w:rPr>
          <w:rFonts w:ascii="仿宋_GB2312" w:hAnsi="仿宋_GB2312" w:cs="仿宋_GB2312" w:eastAsia="仿宋_GB2312"/>
        </w:rPr>
        <w:t>西安市临潼区治理渭河管理站</w:t>
      </w:r>
      <w:r>
        <w:rPr>
          <w:rFonts w:ascii="仿宋_GB2312" w:hAnsi="仿宋_GB2312" w:cs="仿宋_GB2312" w:eastAsia="仿宋_GB2312"/>
        </w:rPr>
        <w:t>委托，拟对</w:t>
      </w:r>
      <w:r>
        <w:rPr>
          <w:rFonts w:ascii="仿宋_GB2312" w:hAnsi="仿宋_GB2312" w:cs="仿宋_GB2312" w:eastAsia="仿宋_GB2312"/>
        </w:rPr>
        <w:t>渭河临潼段堤防工程2026年维修养护项目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HYDZB2026011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渭河临潼段堤防工程2026年维修养护项目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对渭河临潼段堤防进行日常维修养护，养护全长65.12km，其中左岸堤防34.7km，右岸堤防30.42km。主要内容：对65.12km堤防工程进行巡查、保洁、道路交通工程、附属设施等维护、修缮；对195万㎡堤坡草皮、76.85万㎡堤顶景观绿化、19.11万㎡入渭口堤防绿化、2534亩护堤林、1641亩防浪林等进行养护。</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采购包1（渭河临潼段堤防工程2026年维修养护项目）：属于专门面向中小企业采购。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1、营业执照：供应商应是合法注册的法人或其他组织,并出具合法有效的营业执照；</w:t>
      </w:r>
    </w:p>
    <w:p>
      <w:pPr>
        <w:pStyle w:val="null3"/>
      </w:pPr>
      <w:r>
        <w:rPr>
          <w:rFonts w:ascii="仿宋_GB2312" w:hAnsi="仿宋_GB2312" w:cs="仿宋_GB2312" w:eastAsia="仿宋_GB2312"/>
        </w:rPr>
        <w:t>2、法人代表证明书或法人授权委托书：法人代表证明书或法人授权委托书，法人授权委托书后附法人及被委托人身份证，法人证明书后附法定代表人身份证；（法定代表人直接参加开标的只需提供法人代表证明书）；</w:t>
      </w:r>
    </w:p>
    <w:p>
      <w:pPr>
        <w:pStyle w:val="null3"/>
      </w:pPr>
      <w:r>
        <w:rPr>
          <w:rFonts w:ascii="仿宋_GB2312" w:hAnsi="仿宋_GB2312" w:cs="仿宋_GB2312" w:eastAsia="仿宋_GB2312"/>
        </w:rPr>
        <w:t>3、供应商资质：供应商须具备市政公用工程施工总承包三级及以上资质，且具有有效的安全生产许可证；</w:t>
      </w:r>
    </w:p>
    <w:p>
      <w:pPr>
        <w:pStyle w:val="null3"/>
      </w:pPr>
      <w:r>
        <w:rPr>
          <w:rFonts w:ascii="仿宋_GB2312" w:hAnsi="仿宋_GB2312" w:cs="仿宋_GB2312" w:eastAsia="仿宋_GB2312"/>
        </w:rPr>
        <w:t>4、财务状况报告：提供具有财务审计资质单位出具的2024年或2025年度的财务审计报告（成立时间不到一年的可提供成立后任意时段的资产负债表）或投标文件递截止时间前六个月内其基本账户银行出具的资信证明（附基本账户证明）或政府采购信用担保机构出具的担保函；</w:t>
      </w:r>
    </w:p>
    <w:p>
      <w:pPr>
        <w:pStyle w:val="null3"/>
      </w:pPr>
      <w:r>
        <w:rPr>
          <w:rFonts w:ascii="仿宋_GB2312" w:hAnsi="仿宋_GB2312" w:cs="仿宋_GB2312" w:eastAsia="仿宋_GB2312"/>
        </w:rPr>
        <w:t>5、税收缴纳证明：提供投标截止日前6个月内已缴纳的至少一个月的纳税证明或完税证明（任意税种），依法免税的单位应提供相关证明材料；</w:t>
      </w:r>
    </w:p>
    <w:p>
      <w:pPr>
        <w:pStyle w:val="null3"/>
      </w:pPr>
      <w:r>
        <w:rPr>
          <w:rFonts w:ascii="仿宋_GB2312" w:hAnsi="仿宋_GB2312" w:cs="仿宋_GB2312" w:eastAsia="仿宋_GB2312"/>
        </w:rPr>
        <w:t>6、社会保障资金缴纳证明：提供投标截止日前6个月内已缴存的至少一个月的社会保障资金缴存单据或社保机构开具的社会保险参保缴费情况证明，依法不需要缴纳社会保障资金的单位应提供相关证明材料；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7、重大违法记录的书面声明：参加政府采购活动前三年内，在经营活动中没有重大违法记录的书面声明；</w:t>
      </w:r>
    </w:p>
    <w:p>
      <w:pPr>
        <w:pStyle w:val="null3"/>
      </w:pPr>
      <w:r>
        <w:rPr>
          <w:rFonts w:ascii="仿宋_GB2312" w:hAnsi="仿宋_GB2312" w:cs="仿宋_GB2312" w:eastAsia="仿宋_GB2312"/>
        </w:rPr>
        <w:t>8、设备和专业技术能力声明函：提供具有履行本合同所必需的设备和专业技术能力的声明；</w:t>
      </w:r>
    </w:p>
    <w:p>
      <w:pPr>
        <w:pStyle w:val="null3"/>
      </w:pPr>
      <w:r>
        <w:rPr>
          <w:rFonts w:ascii="仿宋_GB2312" w:hAnsi="仿宋_GB2312" w:cs="仿宋_GB2312" w:eastAsia="仿宋_GB2312"/>
        </w:rPr>
        <w:t>9、企业信誉：供应商不得为“信用中国”网站（www.creditchina.gov.cn）中列入失信被执行人（中国执行信息公开网http://zxgk.court.gov.cn）和重大税收违法失信主体的供应商，不得为中国政府采购网（www.ccgp.gov.cn）政府采购严重违法失信行为记录名单中被财政部门禁止参加政府采购活动的供应商（提供报名时间后的网页查询结果截图）；</w:t>
      </w:r>
    </w:p>
    <w:p>
      <w:pPr>
        <w:pStyle w:val="null3"/>
      </w:pPr>
      <w:r>
        <w:rPr>
          <w:rFonts w:ascii="仿宋_GB2312" w:hAnsi="仿宋_GB2312" w:cs="仿宋_GB2312" w:eastAsia="仿宋_GB2312"/>
        </w:rPr>
        <w:t>10、关联关系承诺函：投标单位负责人为同一人或者存在控股、管理关系的不同单位，不得参加同一招标项目投标；</w:t>
      </w:r>
    </w:p>
    <w:p>
      <w:pPr>
        <w:pStyle w:val="null3"/>
      </w:pPr>
      <w:r>
        <w:rPr>
          <w:rFonts w:ascii="仿宋_GB2312" w:hAnsi="仿宋_GB2312" w:cs="仿宋_GB2312" w:eastAsia="仿宋_GB2312"/>
        </w:rPr>
        <w:t>11、非联合体投标：本项目不接受联合体投标。（提供非联合体承诺函）</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西安市临潼区治理渭河管理站</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西安市临潼区京昆线富源馨苑</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临潼区治理渭河管理站经办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02983942263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陕西恒益鼎工程项目管理有限公司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陕西省西安市临潼区秦陵南路20号二楼202室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邓钰春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02983942263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西安市临潼区政府采购管理股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马明</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83825758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采购包1：14,105,300.00元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代理服务费收费标准：参照国家计委关于印发《招标代理服务收费管理暂行办法》的通知（计价格〔2002〕1980 号）、《国家发展和改革委员会办公厅关于招标代理服务收费有关问题的通知》（发改办价格〔2003〕857 号）规定的费率标准计算招标代理服务费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西安市临潼区治理渭河管理站</w:t>
      </w:r>
      <w:r>
        <w:rPr>
          <w:rFonts w:ascii="仿宋_GB2312" w:hAnsi="仿宋_GB2312" w:cs="仿宋_GB2312" w:eastAsia="仿宋_GB2312"/>
        </w:rPr>
        <w:t>和</w:t>
      </w:r>
      <w:r>
        <w:rPr>
          <w:rFonts w:ascii="仿宋_GB2312" w:hAnsi="仿宋_GB2312" w:cs="仿宋_GB2312" w:eastAsia="仿宋_GB2312"/>
        </w:rPr>
        <w:t>陕西恒益鼎工程项目管理有限公司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西安市临潼区治理渭河管理站</w:t>
      </w:r>
      <w:r>
        <w:rPr>
          <w:rFonts w:ascii="仿宋_GB2312" w:hAnsi="仿宋_GB2312" w:cs="仿宋_GB2312" w:eastAsia="仿宋_GB2312"/>
        </w:rPr>
        <w:t>负责解释。除上述招标文件内容，其他内容由</w:t>
      </w:r>
      <w:r>
        <w:rPr>
          <w:rFonts w:ascii="仿宋_GB2312" w:hAnsi="仿宋_GB2312" w:cs="仿宋_GB2312" w:eastAsia="仿宋_GB2312"/>
        </w:rPr>
        <w:t>陕西恒益鼎工程项目管理有限公司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西安市临潼区治理渭河管理站</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陕西恒益鼎工程项目管理有限公司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1）中标单位所提供的项目成果必须经采购人审核验收，符合采购人要求，并达到技术指标先进、质量可靠、配置合理，满足招标文件要求。 2）服务的质量必须符合国家标准和有关规范，符合市水发【2015】579号文件《渭河西安段堤顶工程维修养护暂行管理办法》、《渭河西安段堤顶工程维修养护标准》的要求。</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陕西恒益鼎工程项目管理有限公司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陕西恒益鼎工程项目管理有限公司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陕西恒益鼎工程项目管理有限公司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联系人：邓钰春</w:t>
      </w:r>
    </w:p>
    <w:p>
      <w:pPr>
        <w:pStyle w:val="null3"/>
      </w:pPr>
      <w:r>
        <w:rPr>
          <w:rFonts w:ascii="仿宋_GB2312" w:hAnsi="仿宋_GB2312" w:cs="仿宋_GB2312" w:eastAsia="仿宋_GB2312"/>
        </w:rPr>
        <w:t>联系电话：02983942263</w:t>
      </w:r>
    </w:p>
    <w:p>
      <w:pPr>
        <w:pStyle w:val="null3"/>
      </w:pPr>
      <w:r>
        <w:rPr>
          <w:rFonts w:ascii="仿宋_GB2312" w:hAnsi="仿宋_GB2312" w:cs="仿宋_GB2312" w:eastAsia="仿宋_GB2312"/>
        </w:rPr>
        <w:t>地址：陕西省西安市临潼区秦陵南路20号二楼202室</w:t>
      </w:r>
    </w:p>
    <w:p>
      <w:pPr>
        <w:pStyle w:val="null3"/>
      </w:pPr>
      <w:r>
        <w:rPr>
          <w:rFonts w:ascii="仿宋_GB2312" w:hAnsi="仿宋_GB2312" w:cs="仿宋_GB2312" w:eastAsia="仿宋_GB2312"/>
        </w:rPr>
        <w:t>邮编：710600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对渭河临潼段堤防进行日常维修养护，养护全长65.12km，其中左岸堤防34.7km，右岸堤防30.42km。主要内容：对65.12km堤防工程进行巡查、保洁、道路交通工程、附属设施等维护、修缮；对195万㎡堤坡草皮、76.85万㎡堤顶景观绿化、19.11万㎡入渭口堤防绿化、2534亩护堤林、1641亩防浪林等进行养护。</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14,105,300.00</w:t>
      </w:r>
    </w:p>
    <w:p>
      <w:pPr>
        <w:pStyle w:val="null3"/>
      </w:pPr>
      <w:r>
        <w:rPr>
          <w:rFonts w:ascii="仿宋_GB2312" w:hAnsi="仿宋_GB2312" w:cs="仿宋_GB2312" w:eastAsia="仿宋_GB2312"/>
        </w:rPr>
        <w:t>采购包最高限价（元）: 14,105,300.00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渭河临潼段堤防工程2026年维修养护项目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14,105,300.00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标的名称：渭河临潼段堤防工程2026年维修养护项目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b/>
                <w:color w:val="000000"/>
              </w:rPr>
              <w:t>一</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技术要求</w:t>
            </w:r>
          </w:p>
          <w:p>
            <w:pPr>
              <w:pStyle w:val="null3"/>
              <w:ind w:firstLine="420"/>
              <w:jc w:val="left"/>
            </w:pPr>
            <w:r>
              <w:rPr>
                <w:rFonts w:ascii="仿宋_GB2312" w:hAnsi="仿宋_GB2312" w:cs="仿宋_GB2312" w:eastAsia="仿宋_GB2312"/>
                <w:sz w:val="21"/>
                <w:color w:val="000000"/>
              </w:rPr>
              <w:t>维修养护项目主要内容堤顶日常保洁，景观绿化养护，堤防工程、防护林及管护设施维护，堤顶道路交通工程及附属设施维护、修缮，堤顶日常巡查等。具体养护内容如下：</w:t>
            </w:r>
          </w:p>
          <w:p>
            <w:pPr>
              <w:pStyle w:val="null3"/>
              <w:ind w:firstLine="420"/>
              <w:jc w:val="left"/>
            </w:pPr>
            <w:r>
              <w:rPr>
                <w:rFonts w:ascii="仿宋_GB2312" w:hAnsi="仿宋_GB2312" w:cs="仿宋_GB2312" w:eastAsia="仿宋_GB2312"/>
                <w:sz w:val="21"/>
                <w:color w:val="000000"/>
              </w:rPr>
              <w:t>1、堤顶日常保洁主要养护内容：30~35m堤宽，每800m配备一名保洁人员；20~23m宽，每1000m配备一名保洁人员。配备保洁人员，统一保洁服装和工具，对渭河临潼段南、北岸65.12km堤顶道路，园路、上堤路及堤坡进行日常保洁，厕所配备专人进行日常保洁、修缮；定期对道路附属设施进行擦洗，保持堤顶、堤坡、防护林整洁美观。</w:t>
            </w:r>
          </w:p>
          <w:p>
            <w:pPr>
              <w:pStyle w:val="null3"/>
              <w:ind w:firstLine="420"/>
              <w:jc w:val="left"/>
            </w:pPr>
            <w:r>
              <w:rPr>
                <w:rFonts w:ascii="仿宋_GB2312" w:hAnsi="仿宋_GB2312" w:cs="仿宋_GB2312" w:eastAsia="仿宋_GB2312"/>
                <w:sz w:val="21"/>
                <w:color w:val="000000"/>
              </w:rPr>
              <w:t>2、景观绿化养护主要养护内容：对渭河临潼段65.12km堤防的1950000m2堤坡草皮及768451.4m2堤顶景观绿化，根据养护标准，进行修剪、除杂、施肥、灌溉、补栽等养护工作。其中，堤顶打草修剪、拔杂草8次／年,堤坡打草修剪6次／年，施肥不少于3次／年，病虫害防治不少于4次／年。</w:t>
            </w:r>
          </w:p>
          <w:p>
            <w:pPr>
              <w:pStyle w:val="null3"/>
              <w:ind w:firstLine="420"/>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堤防工程、防护林及管护设施维护主要养护内容：对渭河临潼段已成</w:t>
            </w:r>
            <w:r>
              <w:rPr>
                <w:rFonts w:ascii="仿宋_GB2312" w:hAnsi="仿宋_GB2312" w:cs="仿宋_GB2312" w:eastAsia="仿宋_GB2312"/>
                <w:sz w:val="21"/>
                <w:color w:val="000000"/>
              </w:rPr>
              <w:t>65.12km堤防的堤坡进行平整，整修迎背水侧堤肩、堤脚，组织人员定期排查堤防隐患，进行日常修补，按规定有计划开展堤防安全监测；定期对限高架、标志牌、里程碑（桩）进行清洗、刷漆、维护等；对支流入渭口桥梁进行维护，修补铺装，清洗、油漆栏杆等；对已建成106座雁翅坝及22000m3备防石进行维护，及时清理坝顶、坝坡及备石顶高杆植物、杂物；对渭河临潼段4175亩防护林及南北两岸12处支流入渭口堤防草皮绿化191056</w:t>
            </w:r>
            <w:r>
              <w:rPr>
                <w:rFonts w:ascii="仿宋_GB2312" w:hAnsi="仿宋_GB2312" w:cs="仿宋_GB2312" w:eastAsia="仿宋_GB2312"/>
                <w:sz w:val="21"/>
                <w:color w:val="000000"/>
              </w:rPr>
              <w:t>㎡</w:t>
            </w:r>
            <w:r>
              <w:rPr>
                <w:rFonts w:ascii="仿宋_GB2312" w:hAnsi="仿宋_GB2312" w:cs="仿宋_GB2312" w:eastAsia="仿宋_GB2312"/>
                <w:sz w:val="21"/>
                <w:color w:val="000000"/>
              </w:rPr>
              <w:t>，根据养护标准，进行除草、浇灌、病虫害防治，汛期排水，维护井泵房、灌溉系统、变压器等设施。</w:t>
            </w:r>
          </w:p>
          <w:p>
            <w:pPr>
              <w:pStyle w:val="null3"/>
              <w:ind w:firstLine="420"/>
              <w:jc w:val="left"/>
            </w:pPr>
            <w:r>
              <w:rPr>
                <w:rFonts w:ascii="仿宋_GB2312" w:hAnsi="仿宋_GB2312" w:cs="仿宋_GB2312" w:eastAsia="仿宋_GB2312"/>
                <w:sz w:val="21"/>
                <w:color w:val="000000"/>
              </w:rPr>
              <w:t>4、堤顶道路交通工程及附属设施维护、修缮主要养护内容：对渭河临潼段65.12km堤顶工程进行日常维护，包括修补损坏路面、处理表面裂缝、及时更换损坏道牙等，保证道路工程设施完好，标志标线清晰，行车顺畅；对路面排水系统的集水井、排水管、出口渠道等进行定期检查，维修检查井、及时更换缺损井盖，做好接缝处理，保证排水通畅；对支流入渭桥梁进行维护，及时修补损坏桥面铺装，定期维修、清洗、油漆桥梁栏杆，保</w:t>
            </w:r>
            <w:r>
              <w:rPr>
                <w:rFonts w:ascii="仿宋_GB2312" w:hAnsi="仿宋_GB2312" w:cs="仿宋_GB2312" w:eastAsia="仿宋_GB2312"/>
                <w:sz w:val="21"/>
                <w:color w:val="000000"/>
              </w:rPr>
              <w:t>持桥面干净整洁；及时更换损坏路灯设施、矫正灯杆等。根据实际情况，完善工程运行管理信息化平台设施；维护堤顶交通安全设施，保障堤顶交通安全正常运行；厕所配备专人进行日常管理、保洁，及时修缮，确保厕所正常使用；补充完善堤顶全线管护岗位牌、安全警示牌、《陕西省渭河保护条例》宣传牌及类标识标志牌；按时对养护工器具进行维修保养，保证其正常运行；对摄像头等信息化设施进行日常维护，确保正常运行，左岸堤防养护单位每天安排专人值守视频监控室，发现问题及时上报、处置。</w:t>
            </w:r>
          </w:p>
          <w:p>
            <w:pPr>
              <w:pStyle w:val="null3"/>
              <w:ind w:firstLine="420"/>
              <w:jc w:val="left"/>
            </w:pPr>
            <w:r>
              <w:rPr>
                <w:rFonts w:ascii="仿宋_GB2312" w:hAnsi="仿宋_GB2312" w:cs="仿宋_GB2312" w:eastAsia="仿宋_GB2312"/>
                <w:sz w:val="21"/>
                <w:color w:val="000000"/>
              </w:rPr>
              <w:t>5、堤顶日常巡查主要内容：配备巡查人员，对渭河临潼段65.12km堤顶路进行日常巡查，堤顶严禁超重车辆顺堤通行、摆摊设点、摊晒粮食。确保堤顶工程设施安全、正常运行，无缺损破坏、被盗现象，无扰乱渭河秩序行为发生。（包括全年巡查人员工资及必备的巡查服装、工器具维修等）。</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sz w:val="21"/>
                <w:b/>
                <w:color w:val="000000"/>
              </w:rPr>
              <w:t>二、维修养护标准</w:t>
            </w:r>
          </w:p>
          <w:p>
            <w:pPr>
              <w:pStyle w:val="null3"/>
              <w:ind w:firstLine="420"/>
              <w:jc w:val="left"/>
            </w:pPr>
            <w:r>
              <w:rPr>
                <w:rFonts w:ascii="仿宋_GB2312" w:hAnsi="仿宋_GB2312" w:cs="仿宋_GB2312" w:eastAsia="仿宋_GB2312"/>
                <w:sz w:val="21"/>
                <w:color w:val="000000"/>
              </w:rPr>
              <w:t>为加强</w:t>
            </w:r>
            <w:r>
              <w:rPr>
                <w:rFonts w:ascii="仿宋_GB2312" w:hAnsi="仿宋_GB2312" w:cs="仿宋_GB2312" w:eastAsia="仿宋_GB2312"/>
                <w:sz w:val="21"/>
                <w:color w:val="000000"/>
              </w:rPr>
              <w:t>渭河临潼段堤防工程</w:t>
            </w:r>
            <w:r>
              <w:rPr>
                <w:rFonts w:ascii="仿宋_GB2312" w:hAnsi="仿宋_GB2312" w:cs="仿宋_GB2312" w:eastAsia="仿宋_GB2312"/>
                <w:sz w:val="21"/>
                <w:color w:val="000000"/>
              </w:rPr>
              <w:t>2026年维修养护项目</w:t>
            </w:r>
            <w:r>
              <w:rPr>
                <w:rFonts w:ascii="仿宋_GB2312" w:hAnsi="仿宋_GB2312" w:cs="仿宋_GB2312" w:eastAsia="仿宋_GB2312"/>
                <w:sz w:val="21"/>
                <w:color w:val="000000"/>
              </w:rPr>
              <w:t>管理，规范维修养护标准，巩固渭河综合治理建设成果，充分发挥工程效益，现制定</w:t>
            </w:r>
            <w:r>
              <w:rPr>
                <w:rFonts w:ascii="仿宋_GB2312" w:hAnsi="仿宋_GB2312" w:cs="仿宋_GB2312" w:eastAsia="仿宋_GB2312"/>
                <w:sz w:val="21"/>
                <w:color w:val="000000"/>
              </w:rPr>
              <w:t>渭河临潼段堤防工程</w:t>
            </w:r>
            <w:r>
              <w:rPr>
                <w:rFonts w:ascii="仿宋_GB2312" w:hAnsi="仿宋_GB2312" w:cs="仿宋_GB2312" w:eastAsia="仿宋_GB2312"/>
                <w:sz w:val="21"/>
                <w:color w:val="000000"/>
              </w:rPr>
              <w:t>2026年维修养护项目</w:t>
            </w:r>
            <w:r>
              <w:rPr>
                <w:rFonts w:ascii="仿宋_GB2312" w:hAnsi="仿宋_GB2312" w:cs="仿宋_GB2312" w:eastAsia="仿宋_GB2312"/>
                <w:sz w:val="21"/>
                <w:color w:val="000000"/>
              </w:rPr>
              <w:t>标准如下：</w:t>
            </w:r>
          </w:p>
          <w:p>
            <w:pPr>
              <w:pStyle w:val="null3"/>
              <w:ind w:firstLine="420"/>
              <w:jc w:val="left"/>
            </w:pPr>
            <w:r>
              <w:rPr>
                <w:rFonts w:ascii="仿宋_GB2312" w:hAnsi="仿宋_GB2312" w:cs="仿宋_GB2312" w:eastAsia="仿宋_GB2312"/>
                <w:sz w:val="21"/>
                <w:color w:val="000000"/>
              </w:rPr>
              <w:t>(一)堤顶绿化</w:t>
            </w:r>
          </w:p>
          <w:p>
            <w:pPr>
              <w:pStyle w:val="null3"/>
              <w:ind w:firstLine="420"/>
              <w:jc w:val="left"/>
            </w:pPr>
            <w:r>
              <w:rPr>
                <w:rFonts w:ascii="仿宋_GB2312" w:hAnsi="仿宋_GB2312" w:cs="仿宋_GB2312" w:eastAsia="仿宋_GB2312"/>
                <w:sz w:val="21"/>
                <w:color w:val="000000"/>
              </w:rPr>
              <w:t>1、行道林</w:t>
            </w:r>
          </w:p>
          <w:p>
            <w:pPr>
              <w:pStyle w:val="null3"/>
              <w:ind w:firstLine="420"/>
              <w:jc w:val="left"/>
            </w:pPr>
            <w:r>
              <w:rPr>
                <w:rFonts w:ascii="仿宋_GB2312" w:hAnsi="仿宋_GB2312" w:cs="仿宋_GB2312" w:eastAsia="仿宋_GB2312"/>
                <w:sz w:val="21"/>
                <w:color w:val="000000"/>
              </w:rPr>
              <w:t>1)行道林整齐美观，同树种株距统一，树木无枯枝、无病虫害，存活率达到95%。</w:t>
            </w:r>
          </w:p>
          <w:p>
            <w:pPr>
              <w:pStyle w:val="null3"/>
              <w:ind w:firstLine="420"/>
              <w:jc w:val="left"/>
            </w:pPr>
            <w:r>
              <w:rPr>
                <w:rFonts w:ascii="仿宋_GB2312" w:hAnsi="仿宋_GB2312" w:cs="仿宋_GB2312" w:eastAsia="仿宋_GB2312"/>
                <w:sz w:val="21"/>
                <w:color w:val="000000"/>
              </w:rPr>
              <w:t>2)树木补植更新、浇水、喷药、施肥、修剪及时。浇水坑、沟规整，树穴内无杂草、垃圾等杂物。</w:t>
            </w:r>
          </w:p>
          <w:p>
            <w:pPr>
              <w:pStyle w:val="null3"/>
              <w:ind w:firstLine="420"/>
              <w:jc w:val="left"/>
            </w:pPr>
            <w:r>
              <w:rPr>
                <w:rFonts w:ascii="仿宋_GB2312" w:hAnsi="仿宋_GB2312" w:cs="仿宋_GB2312" w:eastAsia="仿宋_GB2312"/>
                <w:sz w:val="21"/>
                <w:color w:val="000000"/>
              </w:rPr>
              <w:t>3)根据树木生长习性，对影响行人枝条酌情修剪。</w:t>
            </w:r>
          </w:p>
          <w:p>
            <w:pPr>
              <w:pStyle w:val="null3"/>
              <w:ind w:firstLine="420"/>
              <w:jc w:val="left"/>
            </w:pPr>
            <w:r>
              <w:rPr>
                <w:rFonts w:ascii="仿宋_GB2312" w:hAnsi="仿宋_GB2312" w:cs="仿宋_GB2312" w:eastAsia="仿宋_GB2312"/>
                <w:sz w:val="21"/>
                <w:color w:val="000000"/>
              </w:rPr>
              <w:t>4)每年入冬前树木用石灰水刷白，高度1.3m,上面用红漆涂边，宽度3cm。</w:t>
            </w:r>
          </w:p>
          <w:p>
            <w:pPr>
              <w:pStyle w:val="null3"/>
              <w:ind w:firstLine="420"/>
              <w:jc w:val="left"/>
            </w:pPr>
            <w:r>
              <w:rPr>
                <w:rFonts w:ascii="仿宋_GB2312" w:hAnsi="仿宋_GB2312" w:cs="仿宋_GB2312" w:eastAsia="仿宋_GB2312"/>
                <w:sz w:val="21"/>
                <w:color w:val="000000"/>
              </w:rPr>
              <w:t>2、花灌木</w:t>
            </w:r>
          </w:p>
          <w:p>
            <w:pPr>
              <w:pStyle w:val="null3"/>
              <w:ind w:firstLine="420"/>
              <w:jc w:val="left"/>
            </w:pPr>
            <w:r>
              <w:rPr>
                <w:rFonts w:ascii="仿宋_GB2312" w:hAnsi="仿宋_GB2312" w:cs="仿宋_GB2312" w:eastAsia="仿宋_GB2312"/>
                <w:sz w:val="21"/>
                <w:color w:val="000000"/>
              </w:rPr>
              <w:t>1)灌木修剪、剥芽。根据花灌木品种生长习性进行修剪、剥芽(含脚芽)，无枯枝败叶，无修后枝叶残存或散落不清。</w:t>
            </w:r>
          </w:p>
          <w:p>
            <w:pPr>
              <w:pStyle w:val="null3"/>
              <w:ind w:firstLine="420"/>
              <w:jc w:val="left"/>
            </w:pPr>
            <w:r>
              <w:rPr>
                <w:rFonts w:ascii="仿宋_GB2312" w:hAnsi="仿宋_GB2312" w:cs="仿宋_GB2312" w:eastAsia="仿宋_GB2312"/>
                <w:sz w:val="21"/>
                <w:color w:val="000000"/>
              </w:rPr>
              <w:t>2)绿篱修剪。修剪面整齐统一，目测一条线或光滑曲面，日常修剪及时到位，不脱脚，不得出现单枝(芽)超出5cm未剪现象。</w:t>
            </w:r>
          </w:p>
          <w:p>
            <w:pPr>
              <w:pStyle w:val="null3"/>
              <w:ind w:firstLine="420"/>
              <w:jc w:val="left"/>
            </w:pPr>
            <w:r>
              <w:rPr>
                <w:rFonts w:ascii="仿宋_GB2312" w:hAnsi="仿宋_GB2312" w:cs="仿宋_GB2312" w:eastAsia="仿宋_GB2312"/>
                <w:sz w:val="21"/>
                <w:color w:val="000000"/>
              </w:rPr>
              <w:t>3)球类修剪。球形丰满、完整，球面光滑密实，无明显空洞，不得出现单枝（芽）超出5cm未剪现象。</w:t>
            </w:r>
          </w:p>
          <w:p>
            <w:pPr>
              <w:pStyle w:val="null3"/>
              <w:ind w:firstLine="420"/>
              <w:jc w:val="left"/>
            </w:pPr>
            <w:r>
              <w:rPr>
                <w:rFonts w:ascii="仿宋_GB2312" w:hAnsi="仿宋_GB2312" w:cs="仿宋_GB2312" w:eastAsia="仿宋_GB2312"/>
                <w:sz w:val="21"/>
                <w:color w:val="000000"/>
              </w:rPr>
              <w:t>3、地被草坪</w:t>
            </w:r>
          </w:p>
          <w:p>
            <w:pPr>
              <w:pStyle w:val="null3"/>
              <w:ind w:firstLine="420"/>
              <w:jc w:val="left"/>
            </w:pPr>
            <w:r>
              <w:rPr>
                <w:rFonts w:ascii="仿宋_GB2312" w:hAnsi="仿宋_GB2312" w:cs="仿宋_GB2312" w:eastAsia="仿宋_GB2312"/>
                <w:sz w:val="21"/>
                <w:color w:val="000000"/>
              </w:rPr>
              <w:t>1)修剪。根据不同地被、草坪品种，及时修剪，草高不超过10cm为宜，无杂草。草坪中的树坑、花坛边缘应切边，保持线条清晰，草皮整洁美观。</w:t>
            </w:r>
          </w:p>
          <w:p>
            <w:pPr>
              <w:pStyle w:val="null3"/>
              <w:ind w:firstLine="420"/>
              <w:jc w:val="left"/>
            </w:pPr>
            <w:r>
              <w:rPr>
                <w:rFonts w:ascii="仿宋_GB2312" w:hAnsi="仿宋_GB2312" w:cs="仿宋_GB2312" w:eastAsia="仿宋_GB2312"/>
                <w:sz w:val="21"/>
                <w:color w:val="000000"/>
              </w:rPr>
              <w:t>2)覆盖率达98%以上，裸露面积小于20cm2以下，应给草坪生长创造良好条件，保持覆盖率无大范围长势衰退。</w:t>
            </w:r>
          </w:p>
          <w:p>
            <w:pPr>
              <w:pStyle w:val="null3"/>
              <w:ind w:firstLine="420"/>
              <w:jc w:val="left"/>
            </w:pPr>
            <w:r>
              <w:rPr>
                <w:rFonts w:ascii="仿宋_GB2312" w:hAnsi="仿宋_GB2312" w:cs="仿宋_GB2312" w:eastAsia="仿宋_GB2312"/>
                <w:sz w:val="21"/>
                <w:color w:val="000000"/>
              </w:rPr>
              <w:t>(二)堤顶道路及附属设施</w:t>
            </w:r>
          </w:p>
          <w:p>
            <w:pPr>
              <w:pStyle w:val="null3"/>
              <w:ind w:firstLine="420"/>
              <w:jc w:val="left"/>
            </w:pPr>
            <w:r>
              <w:rPr>
                <w:rFonts w:ascii="仿宋_GB2312" w:hAnsi="仿宋_GB2312" w:cs="仿宋_GB2312" w:eastAsia="仿宋_GB2312"/>
                <w:sz w:val="21"/>
                <w:color w:val="000000"/>
              </w:rPr>
              <w:t>1)堤项整沽无杂物、雨后无积水，路面无坑槽、裂缝、起伏、翻浆、脱皮、泛油、龟裂、啃边等现象，路面路缘整齐无损坏。</w:t>
            </w:r>
          </w:p>
          <w:p>
            <w:pPr>
              <w:pStyle w:val="null3"/>
              <w:ind w:firstLine="420"/>
              <w:jc w:val="left"/>
            </w:pPr>
            <w:r>
              <w:rPr>
                <w:rFonts w:ascii="仿宋_GB2312" w:hAnsi="仿宋_GB2312" w:cs="仿宋_GB2312" w:eastAsia="仿宋_GB2312"/>
                <w:sz w:val="21"/>
                <w:color w:val="000000"/>
              </w:rPr>
              <w:t>2)排水系统齐全、畅通，无堵塞、破损现象。沟内杂草、杂物清理及时。</w:t>
            </w:r>
          </w:p>
          <w:p>
            <w:pPr>
              <w:pStyle w:val="null3"/>
              <w:ind w:firstLine="420"/>
              <w:jc w:val="left"/>
            </w:pPr>
            <w:r>
              <w:rPr>
                <w:rFonts w:ascii="仿宋_GB2312" w:hAnsi="仿宋_GB2312" w:cs="仿宋_GB2312" w:eastAsia="仿宋_GB2312"/>
                <w:sz w:val="21"/>
                <w:color w:val="000000"/>
              </w:rPr>
              <w:t>3)支流入渭口桥梁路面无损坏、无积水，周边卫生整洁。护栏等附属设施保持完好，定期擦洗和维护。桥底周围整洁。无杂草垃圾，定期进行清理、保洁。</w:t>
            </w:r>
          </w:p>
          <w:p>
            <w:pPr>
              <w:pStyle w:val="null3"/>
              <w:ind w:firstLine="420"/>
              <w:jc w:val="left"/>
            </w:pPr>
            <w:r>
              <w:rPr>
                <w:rFonts w:ascii="仿宋_GB2312" w:hAnsi="仿宋_GB2312" w:cs="仿宋_GB2312" w:eastAsia="仿宋_GB2312"/>
                <w:sz w:val="21"/>
                <w:color w:val="000000"/>
              </w:rPr>
              <w:t>4)路灯、电缆、配电设施、堤顶浇灌设备等基础设施无缺损破坏、被盗现象，功能齐全，使用正常。</w:t>
            </w:r>
          </w:p>
          <w:p>
            <w:pPr>
              <w:pStyle w:val="null3"/>
              <w:ind w:firstLine="420"/>
              <w:jc w:val="left"/>
            </w:pPr>
            <w:r>
              <w:rPr>
                <w:rFonts w:ascii="仿宋_GB2312" w:hAnsi="仿宋_GB2312" w:cs="仿宋_GB2312" w:eastAsia="仿宋_GB2312"/>
                <w:sz w:val="21"/>
                <w:color w:val="000000"/>
              </w:rPr>
              <w:t>5)各类标志牌、警示牌、限高埋设坚固，标识清晰，醒目美观，无涂层脱落、无污损，无丢失和人为破坏现象。</w:t>
            </w:r>
          </w:p>
          <w:p>
            <w:pPr>
              <w:pStyle w:val="null3"/>
              <w:ind w:firstLine="420"/>
              <w:jc w:val="left"/>
            </w:pPr>
            <w:r>
              <w:rPr>
                <w:rFonts w:ascii="仿宋_GB2312" w:hAnsi="仿宋_GB2312" w:cs="仿宋_GB2312" w:eastAsia="仿宋_GB2312"/>
                <w:sz w:val="21"/>
                <w:color w:val="000000"/>
              </w:rPr>
              <w:t>6)对广场、雕塑、园路、石凳、垃圾桶等景观设施维护及时，定期检查清洗，发现问题及时修补和更换。</w:t>
            </w:r>
          </w:p>
          <w:p>
            <w:pPr>
              <w:pStyle w:val="null3"/>
              <w:ind w:firstLine="420"/>
              <w:jc w:val="left"/>
            </w:pPr>
            <w:r>
              <w:rPr>
                <w:rFonts w:ascii="仿宋_GB2312" w:hAnsi="仿宋_GB2312" w:cs="仿宋_GB2312" w:eastAsia="仿宋_GB2312"/>
                <w:sz w:val="21"/>
                <w:color w:val="000000"/>
              </w:rPr>
              <w:t>7)备防石位置合理、摆放整齐，便于管理与抢险交通。无坍垛、杂草杂物，坝</w:t>
            </w:r>
            <w:r>
              <w:rPr>
                <w:rFonts w:ascii="仿宋_GB2312" w:hAnsi="仿宋_GB2312" w:cs="仿宋_GB2312" w:eastAsia="仿宋_GB2312"/>
                <w:sz w:val="21"/>
                <w:color w:val="000000"/>
              </w:rPr>
              <w:t>号、垛号、方量等标注清晰，备防石周边无散抛石。</w:t>
            </w:r>
          </w:p>
          <w:p>
            <w:pPr>
              <w:pStyle w:val="null3"/>
              <w:ind w:firstLine="420"/>
              <w:jc w:val="left"/>
            </w:pPr>
            <w:r>
              <w:rPr>
                <w:rFonts w:ascii="仿宋_GB2312" w:hAnsi="仿宋_GB2312" w:cs="仿宋_GB2312" w:eastAsia="仿宋_GB2312"/>
                <w:sz w:val="21"/>
                <w:color w:val="000000"/>
              </w:rPr>
              <w:t>(三)堤坡</w:t>
            </w:r>
          </w:p>
          <w:p>
            <w:pPr>
              <w:pStyle w:val="null3"/>
              <w:ind w:firstLine="420"/>
              <w:jc w:val="left"/>
            </w:pPr>
            <w:r>
              <w:rPr>
                <w:rFonts w:ascii="仿宋_GB2312" w:hAnsi="仿宋_GB2312" w:cs="仿宋_GB2312" w:eastAsia="仿宋_GB2312"/>
                <w:sz w:val="21"/>
                <w:color w:val="000000"/>
              </w:rPr>
              <w:t>1)堤坡应保持原设计坡度，无残缺、水沟浪窝、陡坎、天井、洞穴、陷坑、杂物，无违章垦殖及取土现象。</w:t>
            </w:r>
          </w:p>
          <w:p>
            <w:pPr>
              <w:pStyle w:val="null3"/>
              <w:ind w:firstLine="420"/>
              <w:jc w:val="left"/>
            </w:pPr>
            <w:r>
              <w:rPr>
                <w:rFonts w:ascii="仿宋_GB2312" w:hAnsi="仿宋_GB2312" w:cs="仿宋_GB2312" w:eastAsia="仿宋_GB2312"/>
                <w:sz w:val="21"/>
                <w:color w:val="000000"/>
              </w:rPr>
              <w:t>2)坡面平顺，沿断面10米范围内，凹凸面小于5cm.</w:t>
            </w:r>
          </w:p>
          <w:p>
            <w:pPr>
              <w:pStyle w:val="null3"/>
              <w:ind w:firstLine="420"/>
              <w:jc w:val="left"/>
            </w:pPr>
            <w:r>
              <w:rPr>
                <w:rFonts w:ascii="仿宋_GB2312" w:hAnsi="仿宋_GB2312" w:cs="仿宋_GB2312" w:eastAsia="仿宋_GB2312"/>
                <w:sz w:val="21"/>
                <w:color w:val="000000"/>
              </w:rPr>
              <w:t>3)堤坡草坪应经常修剪，草高10cm为宜，草皮覆盖率达98%以上，无杂草。</w:t>
            </w:r>
          </w:p>
          <w:p>
            <w:pPr>
              <w:pStyle w:val="null3"/>
              <w:ind w:firstLine="420"/>
              <w:jc w:val="left"/>
            </w:pPr>
            <w:r>
              <w:rPr>
                <w:rFonts w:ascii="仿宋_GB2312" w:hAnsi="仿宋_GB2312" w:cs="仿宋_GB2312" w:eastAsia="仿宋_GB2312"/>
                <w:sz w:val="21"/>
                <w:color w:val="000000"/>
              </w:rPr>
              <w:t>4)堤坡脚处地面平坦，10米长度范围内凹凸不大于10cm, 堤脚线线直弧圆，平顺规整，明显、清晰。</w:t>
            </w:r>
          </w:p>
          <w:p>
            <w:pPr>
              <w:pStyle w:val="null3"/>
              <w:ind w:firstLine="420"/>
              <w:jc w:val="left"/>
            </w:pPr>
            <w:r>
              <w:rPr>
                <w:rFonts w:ascii="仿宋_GB2312" w:hAnsi="仿宋_GB2312" w:cs="仿宋_GB2312" w:eastAsia="仿宋_GB2312"/>
                <w:sz w:val="21"/>
                <w:color w:val="000000"/>
              </w:rPr>
              <w:t>5)上堤辅道与堤坡交线顺直、整齐、分明。上堤辅道应保持完整、平顺、无沟坎、凹陷、无蚕食堤身、淤区现象，确保堤身完整。</w:t>
            </w:r>
          </w:p>
          <w:p>
            <w:pPr>
              <w:pStyle w:val="null3"/>
              <w:ind w:firstLine="420"/>
              <w:jc w:val="left"/>
            </w:pPr>
            <w:r>
              <w:rPr>
                <w:rFonts w:ascii="仿宋_GB2312" w:hAnsi="仿宋_GB2312" w:cs="仿宋_GB2312" w:eastAsia="仿宋_GB2312"/>
                <w:sz w:val="21"/>
                <w:color w:val="000000"/>
              </w:rPr>
              <w:t>6)坝垛顶面平整，无裂缝、陷坑、洞穴，无乱石、堆石、杂物及高杆杂草匝数等，坝垛周边整洁。坝基牢固，无缺损、无坍塌、无松动。</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满足项目实际需求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满足项目需求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2026年4月-12月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1）中标单位所提供的项目成果必须经采购人审核验收，符合采购人要求，并达到技术指标先进、质量可靠、配置合理，满足招标文件要求。 2）服务的质量必须符合国家标准和有关规范，符合市水发【2015】579号文件《渭河西安段堤顶工程维修养护暂行管理办法》、《渭河西安段堤顶工程维修养护标准》的要求。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合同签订后，按照季度进行支付，只支付季度人员工资（保洁、巡逻及绿化养护部分），其余维修工程经审计后，一次性支付</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2）按合同要求提供服务或服务质量不能满足技术要求，采购人有权终止合同，并对供方违约行为进行追究，同时按《政府采购法》的有关规定进行处罚。</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供应商需要在线提交所有通过电子化交易平台实施的政府采购项目的投标文件，同时线下提交纸质投标文件正本壹份、副本贰份、电子版文件壹份（以U盘形式提供，电子版文件应包电子交易系统生成的文件、word版本投标文件等内容）。响应文件应放入文件袋内密封，袋上标明供应商名称并加盖公章。线下纸质文件递交截止时间同在线递交电子响应文件截止时间一致。线下纸质文件递交地点：西安市临潼区秦陵南路20号新华书店2楼201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供应商应是合法注册的法人或其他组织,并出具合法有效的营业执照；</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法人代表证明书或法人授权委托书</w:t>
            </w:r>
          </w:p>
        </w:tc>
        <w:tc>
          <w:tcPr>
            <w:tcW w:type="dxa" w:w="3322"/>
          </w:tcPr>
          <w:p>
            <w:pPr>
              <w:pStyle w:val="null3"/>
            </w:pPr>
            <w:r>
              <w:rPr>
                <w:rFonts w:ascii="仿宋_GB2312" w:hAnsi="仿宋_GB2312" w:cs="仿宋_GB2312" w:eastAsia="仿宋_GB2312"/>
              </w:rPr>
              <w:t>法人代表证明书或法人授权委托书，法人授权委托书后附法人及被委托人身份证，法人证明书后附法定代表人身份证；（法定代表人直接参加开标的只需提供法人代表证明书）；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供应商须具备市政公用工程施工总承包三级及以上资质，且具有有效的安全生产许可证；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具有财务审计资质单位出具的2024年或2025年度的财务审计报告（成立时间不到一年的可提供成立后任意时段的资产负债表）或投标文件递截止时间前六个月内其基本账户银行出具的资信证明（附基本账户证明）或政府采购信用担保机构出具的担保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提供投标截止日前6个月内已缴纳的至少一个月的纳税证明或完税证明（任意税种），依法免税的单位应提供相关证明材料；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提供投标截止日前6个月内已缴存的至少一个月的社会保障资金缴存单据或社保机构开具的社会保险参保缴费情况证明，依法不需要缴纳社会保障资金的单位应提供相关证明材料；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重大违法记录的书面声明</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设备和专业技术能力声明函</w:t>
            </w:r>
          </w:p>
        </w:tc>
        <w:tc>
          <w:tcPr>
            <w:tcW w:type="dxa" w:w="3322"/>
          </w:tcPr>
          <w:p>
            <w:pPr>
              <w:pStyle w:val="null3"/>
            </w:pPr>
            <w:r>
              <w:rPr>
                <w:rFonts w:ascii="仿宋_GB2312" w:hAnsi="仿宋_GB2312" w:cs="仿宋_GB2312" w:eastAsia="仿宋_GB2312"/>
              </w:rPr>
              <w:t>提供具有履行本合同所必需的设备和专业技术能力的声明；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企业信誉</w:t>
            </w:r>
          </w:p>
        </w:tc>
        <w:tc>
          <w:tcPr>
            <w:tcW w:type="dxa" w:w="3322"/>
          </w:tcPr>
          <w:p>
            <w:pPr>
              <w:pStyle w:val="null3"/>
            </w:pPr>
            <w:r>
              <w:rPr>
                <w:rFonts w:ascii="仿宋_GB2312" w:hAnsi="仿宋_GB2312" w:cs="仿宋_GB2312" w:eastAsia="仿宋_GB2312"/>
              </w:rPr>
              <w:t>供应商不得为“信用中国”网站（www.creditchina.gov.cn）中列入失信被执行人（中国执行信息公开网http://zxgk.court.gov.cn）和重大税收违法失信主体的供应商，不得为中国政府采购网（www.ccgp.gov.cn）政府采购严重违法失信行为记录名单中被财政部门禁止参加政府采购活动的供应商（提供报名时间后的网页查询结果截图）；</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关联关系承诺函</w:t>
            </w:r>
          </w:p>
        </w:tc>
        <w:tc>
          <w:tcPr>
            <w:tcW w:type="dxa" w:w="3322"/>
          </w:tcPr>
          <w:p>
            <w:pPr>
              <w:pStyle w:val="null3"/>
            </w:pPr>
            <w:r>
              <w:rPr>
                <w:rFonts w:ascii="仿宋_GB2312" w:hAnsi="仿宋_GB2312" w:cs="仿宋_GB2312" w:eastAsia="仿宋_GB2312"/>
              </w:rPr>
              <w:t>投标单位负责人为同一人或者存在控股、管理关系的不同单位，不得参加同一招标项目投标；</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本项目不接受联合体投标。（提供非联合体承诺函）</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是否符合招标文件要求</w:t>
            </w:r>
          </w:p>
        </w:tc>
        <w:tc>
          <w:tcPr>
            <w:tcW w:type="dxa" w:w="1661"/>
          </w:tcPr>
          <w:p>
            <w:pPr>
              <w:pStyle w:val="null3"/>
            </w:pPr>
            <w:r>
              <w:rPr>
                <w:rFonts w:ascii="仿宋_GB2312" w:hAnsi="仿宋_GB2312" w:cs="仿宋_GB2312" w:eastAsia="仿宋_GB2312"/>
              </w:rPr>
              <w:t>服务内容及服务邀请应答表 供应商应提交的相关资格证明材料.docx 投标函 项目业绩一览表.docx 中小企业声明函 残疾人福利性单位声明函 商务应答表 服务方案 标的清单 投标文件封面 项目投入主要人员汇总表.docx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是否符合招标文件要求</w:t>
            </w:r>
          </w:p>
        </w:tc>
        <w:tc>
          <w:tcPr>
            <w:tcW w:type="dxa" w:w="1661"/>
          </w:tcPr>
          <w:p>
            <w:pPr>
              <w:pStyle w:val="null3"/>
            </w:pPr>
            <w:r>
              <w:rPr>
                <w:rFonts w:ascii="仿宋_GB2312" w:hAnsi="仿宋_GB2312" w:cs="仿宋_GB2312" w:eastAsia="仿宋_GB2312"/>
              </w:rPr>
              <w:t>服务内容及服务邀请应答表 供应商应提交的相关资格证明材料.docx 投标函 项目业绩一览表.docx 中小企业声明函 残疾人福利性单位声明函 商务应答表 服务方案 标的清单 投标文件封面 项目投入主要人员汇总表.docx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投标报价是否唯一，是否超过招标文件中规定的采购预算或最高限价</w:t>
            </w:r>
          </w:p>
        </w:tc>
        <w:tc>
          <w:tcPr>
            <w:tcW w:type="dxa" w:w="1661"/>
          </w:tcPr>
          <w:p>
            <w:pPr>
              <w:pStyle w:val="null3"/>
            </w:pPr>
            <w:r>
              <w:rPr>
                <w:rFonts w:ascii="仿宋_GB2312" w:hAnsi="仿宋_GB2312" w:cs="仿宋_GB2312" w:eastAsia="仿宋_GB2312"/>
              </w:rPr>
              <w:t>服务内容及服务邀请应答表 供应商应提交的相关资格证明材料.docx 投标函 项目业绩一览表.docx 中小企业声明函 残疾人福利性单位声明函 商务应答表 服务方案 标的清单 投标文件封面 项目投入主要人员汇总表.docx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服务内容</w:t>
            </w:r>
          </w:p>
        </w:tc>
        <w:tc>
          <w:tcPr>
            <w:tcW w:type="dxa" w:w="3322"/>
          </w:tcPr>
          <w:p>
            <w:pPr>
              <w:pStyle w:val="null3"/>
            </w:pPr>
            <w:r>
              <w:rPr>
                <w:rFonts w:ascii="仿宋_GB2312" w:hAnsi="仿宋_GB2312" w:cs="仿宋_GB2312" w:eastAsia="仿宋_GB2312"/>
              </w:rPr>
              <w:t>是否满足招标文件要求</w:t>
            </w:r>
          </w:p>
        </w:tc>
        <w:tc>
          <w:tcPr>
            <w:tcW w:type="dxa" w:w="1661"/>
          </w:tcPr>
          <w:p>
            <w:pPr>
              <w:pStyle w:val="null3"/>
            </w:pPr>
            <w:r>
              <w:rPr>
                <w:rFonts w:ascii="仿宋_GB2312" w:hAnsi="仿宋_GB2312" w:cs="仿宋_GB2312" w:eastAsia="仿宋_GB2312"/>
              </w:rPr>
              <w:t>服务内容及服务邀请应答表 供应商应提交的相关资格证明材料.docx 投标函 项目业绩一览表.docx 中小企业声明函 残疾人福利性单位声明函 商务应答表 服务方案 标的清单 投标文件封面 项目投入主要人员汇总表.docx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是否满足招标文件要求</w:t>
            </w:r>
          </w:p>
        </w:tc>
        <w:tc>
          <w:tcPr>
            <w:tcW w:type="dxa" w:w="1661"/>
          </w:tcPr>
          <w:p>
            <w:pPr>
              <w:pStyle w:val="null3"/>
            </w:pPr>
            <w:r>
              <w:rPr>
                <w:rFonts w:ascii="仿宋_GB2312" w:hAnsi="仿宋_GB2312" w:cs="仿宋_GB2312" w:eastAsia="仿宋_GB2312"/>
              </w:rPr>
              <w:t>服务内容及服务邀请应答表 供应商应提交的相关资格证明材料.docx 投标函 项目业绩一览表.docx 中小企业声明函 残疾人福利性单位声明函 商务应答表 服务方案 标的清单 投标文件封面 项目投入主要人员汇总表.docx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总体养护方案</w:t>
            </w:r>
          </w:p>
        </w:tc>
        <w:tc>
          <w:tcPr>
            <w:tcW w:type="dxa" w:w="2492"/>
          </w:tcPr>
          <w:p>
            <w:pPr>
              <w:pStyle w:val="null3"/>
            </w:pPr>
            <w:r>
              <w:rPr>
                <w:rFonts w:ascii="仿宋_GB2312" w:hAnsi="仿宋_GB2312" w:cs="仿宋_GB2312" w:eastAsia="仿宋_GB2312"/>
              </w:rPr>
              <w:t>一、评审内容 针对采购内容提出适用于本项目的总体养护方案，方案包括：①维修养护方式和目标；②进度及质量保证方案；③维修养护标准流程等。 二、评审标准 1、完整性：方案必须全面，对评审内容中的各项要求有详细描述； 2、针对性：方案能够紧扣项目实际情况，内容科学合理； 3、可实施性：切合本项目实际情况，提出步骤清晰、合理的方案。 三、赋分标准（满分9分） 每完全满足一个评审标准得1分； 针对评审标准存在有不合理处的扣0-0.9分；（不合理是指:方案不符合服务技术要求相关内容、内容错误、描述有歧义、逻辑有漏洞、表述不清)；内容与本项目无关或未提供的得0分。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专项养护服务方案</w:t>
            </w:r>
          </w:p>
        </w:tc>
        <w:tc>
          <w:tcPr>
            <w:tcW w:type="dxa" w:w="2492"/>
          </w:tcPr>
          <w:p>
            <w:pPr>
              <w:pStyle w:val="null3"/>
            </w:pPr>
            <w:r>
              <w:rPr>
                <w:rFonts w:ascii="仿宋_GB2312" w:hAnsi="仿宋_GB2312" w:cs="仿宋_GB2312" w:eastAsia="仿宋_GB2312"/>
              </w:rPr>
              <w:t>一、评审内容 针对采购内容提出适用于本项目的专项养护方案，方案包括：①堤顶日常保洁方案；②景观绿化养护方案；③堤防工程、防护林及管护设施维修方案；④堤顶道路交通工程及附属设施维护、修缮方案⑤堤顶日常巡查方案。 二、评审标准 1、完整性：方案必须全面，对评审内容中的各项要求有详细描述； 2、针对性：方案能够紧扣项目实际情况，内容科学合理； 3、可实施性：切合本项目实际情况，提出步骤清晰、合理的方案。 三、赋分标准（满分15分） 每完全满足一个评审标准得1分； 针对评审标准存在有不合理处的扣0-0.9分；不合理是指:方案不符合服务技术要求相关内容、内容错误、描述有歧义、逻辑有漏洞、表述不清)；内容与本项目无关或未提供的得0分。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安全管理体系与措施</w:t>
            </w:r>
          </w:p>
        </w:tc>
        <w:tc>
          <w:tcPr>
            <w:tcW w:type="dxa" w:w="2492"/>
          </w:tcPr>
          <w:p>
            <w:pPr>
              <w:pStyle w:val="null3"/>
            </w:pPr>
            <w:r>
              <w:rPr>
                <w:rFonts w:ascii="仿宋_GB2312" w:hAnsi="仿宋_GB2312" w:cs="仿宋_GB2312" w:eastAsia="仿宋_GB2312"/>
              </w:rPr>
              <w:t>一、评审内容 针对采购内容提出适用于本项目的安全管理体系与措施内容，方案包括：①安全生产管理制度；②配置安全组织机构；③堤防工程安全监测、安全隐患排查、整改制度等。 二、评审标准 1、完整性：方案必须全面，对评审内容中的各项要求有详细描述； 2、针对性：方案能够紧扣项目实际情况，内容科学合理； 3、可实施性：切合本项目实际情况，提出步骤清晰、合理的方案。 三、赋分标准（满分9分） 每完全满足一个评审标准得1分； 针对评审标准存在有不合理处的扣0-0.9分；不合理是指:方案不符合服务技术要求相关内容、内容错误、描述有歧义、逻辑有漏洞、表述不清)；内容与本项目无关或未提供的得0分。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针对采购内容提出适用于本项目的质量保障措施，包括：①质量管理工作流程；②质量保障方案；③施工所投入的材料等产品质量的保障措施等； 二、评审标准 1、完整性：方案必须全面，对评审内容中的各项要求有详细描述； 2、针对性：方案能够紧扣项目实际情况，内容科学合理； 3、可实施性：切合本项目实际情况，提出步骤清晰、合理的方案。 三、赋分标准（满分9分） 每完全满足一个评审标准得1分； 针对评审标准存在有不合理处的扣0-0.9分；不合理是指:方案不符合服务技术要求相关内容、内容错误、描述有歧义、逻辑有漏洞、表述不清)；内容与本项目无关或未提供的得0分。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 针对采购内容提出适用于本项目的应急预案，包括：①汛期堤防险情②设备故障、应急人员安全事故③绿化植物灾害等。 二、评审标准 1、完整性：方案必须全面，对评审内容中的各项要求有详细描述； 2、针对性：方案能够紧扣项目实际情况，内容科学合理； 3、可实施性：切合本项目实际情况，提出步骤清晰、合理的方案。 三、赋分标准（满分9分） 每完全满足一个评审标准得1分； 针对评审标准存在有不合理处的扣0-0.9分；不合理是指:方案不符合服务技术要求相关内容、内容错误、描述有歧义、逻辑有漏洞、表述不清)；内容与本项目无关或未提供的得0分。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环境的保护方案</w:t>
            </w:r>
          </w:p>
        </w:tc>
        <w:tc>
          <w:tcPr>
            <w:tcW w:type="dxa" w:w="2492"/>
          </w:tcPr>
          <w:p>
            <w:pPr>
              <w:pStyle w:val="null3"/>
            </w:pPr>
            <w:r>
              <w:rPr>
                <w:rFonts w:ascii="仿宋_GB2312" w:hAnsi="仿宋_GB2312" w:cs="仿宋_GB2312" w:eastAsia="仿宋_GB2312"/>
              </w:rPr>
              <w:t>一、评审内容 针对采购内容提出适用于本项目的环境的保护方案，方案包括：①养护范围内环境保护方案；②预防和动态控制措施及制度等。 二、评审标准 1、完整性：方案必须全面，对评审内容中的各项要求有详细描述； 2、针对性：方案能够紧扣项目实际情况，内容科学合理； 3、可实施性：切合本项目实际情况，提出步骤清晰、合理的方案。 三、赋分标准（满分6分） 每完全满足一个评审标准得1分； 针对评审标准存在有不合理处的扣0-0.9分；不合理是指:方案不符合服务技术要求相关内容、内容错误、描述有歧义、逻辑有漏洞、表述不清)；内容与本项目无关或未提供的得0分。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一、评审内容 针对采购内容提出适用于本项目的人员配置方案，方案包括：①人员配置及职责分工； 二、评审标准： 1、完整性：人员配置须全面，满足项目人员需求 2、可实施性：切合本项目实际情况，设置组织机构）、 3、针对性：人员职责分工明确紧扣项目实际情况 三、赋分标准（满分3分） 每完全满足一个评审标准得1分； 针对评审标准存在有不合理处的扣0-0.9分；不合理是指:方案不符合服务技术要求相关内容、内容错误、描述有歧义、逻辑有漏洞、表述不清)；内容与本项目无关或未提供的得0分。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项目投入主要人员汇总表.docx</w:t>
            </w:r>
          </w:p>
        </w:tc>
      </w:tr>
      <w:tr>
        <w:tc>
          <w:tcPr>
            <w:tcW w:type="dxa" w:w="831"/>
            <w:vMerge/>
          </w:tcPr>
          <w:p/>
        </w:tc>
        <w:tc>
          <w:tcPr>
            <w:tcW w:type="dxa" w:w="1661"/>
          </w:tcPr>
          <w:p>
            <w:pPr>
              <w:pStyle w:val="null3"/>
            </w:pPr>
            <w:r>
              <w:rPr>
                <w:rFonts w:ascii="仿宋_GB2312" w:hAnsi="仿宋_GB2312" w:cs="仿宋_GB2312" w:eastAsia="仿宋_GB2312"/>
              </w:rPr>
              <w:t>维护设备、机具配置方案</w:t>
            </w:r>
          </w:p>
        </w:tc>
        <w:tc>
          <w:tcPr>
            <w:tcW w:type="dxa" w:w="2492"/>
          </w:tcPr>
          <w:p>
            <w:pPr>
              <w:pStyle w:val="null3"/>
            </w:pPr>
            <w:r>
              <w:rPr>
                <w:rFonts w:ascii="仿宋_GB2312" w:hAnsi="仿宋_GB2312" w:cs="仿宋_GB2312" w:eastAsia="仿宋_GB2312"/>
              </w:rPr>
              <w:t>一、评审内容 针对采购内容提出适用于本项目的维护设备、机具配置方案，方案包括：①维护设备、机具配置方案。 二、评审标准 1、完整性：方案必须全面，对评审内容中的各项要求有详细描述； 2、针对性：方案能够紧扣项目实际情况，内容合理； 3、科学性：切合本项目实际情况，提出科学、合理配置的方案。 三、赋分标准（满分3分） 每完全满足一个评审标准得1分； 针对评审标准存在有不合理处的扣0-0.9分；不合理是指:方案不符合服务技术要求相关内容、内容错误、描述有歧义、逻辑有漏洞、表述不清)；内容与本项目无关或未提供的得0分。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关键点、重难点分析及合理化建议</w:t>
            </w:r>
          </w:p>
        </w:tc>
        <w:tc>
          <w:tcPr>
            <w:tcW w:type="dxa" w:w="2492"/>
          </w:tcPr>
          <w:p>
            <w:pPr>
              <w:pStyle w:val="null3"/>
            </w:pPr>
            <w:r>
              <w:rPr>
                <w:rFonts w:ascii="仿宋_GB2312" w:hAnsi="仿宋_GB2312" w:cs="仿宋_GB2312" w:eastAsia="仿宋_GB2312"/>
              </w:rPr>
              <w:t>一、评审内容 针对采购内容提出适用于本项目实施过程中的关键点、重难点分析及相关措施，并提出有利项目实施的合理化建议，内容包括：①关键点、重难点分析；②合理化建议。 二、评审标准 1、完整性：建议内容全面，对采购内容中的各项相关内容有详细描述； 2、针对性：建议能够紧扣项目实际情况，内容科学合理； 3、可实施性：切合本项目实际情况，提出步骤清晰、合理的解决方案。 三、赋分标准（满分6分） 每完全满足一个评审标准得1分； 针对评审标准存在有不合理处的扣0-0.9分；不合理是指:方案不符合服务技术要求相关内容、内容错误、描述有歧义、逻辑有漏洞、表述不清)；内容与本项目无关或未提供的得0分。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针对采购内容提出适用于本项目的服务承诺，内容包括①对采购内容的相关养护质量、维修质量一致性、稳定性等内容做出承诺；②投标人对配合采购人重大活动等内容做出承诺；③配合采购人对精细化管理目标实现做出承诺；④对市民服务及市民意见处理的专项承诺。 二、评审标准 1、完整性：方案必须全面，对评审内容中的各项要求有详细描述； 2、针对性：方案能够紧扣项目实际情况，内容科学合理； 3、可实施性：切合本项目实际情况，提出步骤清晰、合理的方案。 三、赋分标准（满分12分） 每完全满足一个评审标准得1分； 针对评审标准存在有不合理处的扣0-0.9分；不合理是指:方案不符合服务技术要求相关内容、内容错误、描述有歧义、逻辑有漏洞、表述不清)；内容与本项目无关或未提供的得0分。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投标人（自2023年1月1日起至今，以合同签订时间为准）类似项目，一个项目得3分，最高9分。（以合同复印件或中标通知书加盖公章为准）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项目业绩一览表.docx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价格分统一采用低价优先法计算，即满足招标文件要求且最低的投标报价为基准价，其价格分为满分。其他投标人的价格分统一按照下列公式计算：价格分=(基准价／投标报价)×10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详见附件：项目投入主要人员汇总表.docx</w:t>
      </w:r>
    </w:p>
    <w:p>
      <w:pPr>
        <w:pStyle w:val="null3"/>
        <w:ind w:firstLine="960"/>
      </w:pPr>
      <w:r>
        <w:rPr>
          <w:rFonts w:ascii="仿宋_GB2312" w:hAnsi="仿宋_GB2312" w:cs="仿宋_GB2312" w:eastAsia="仿宋_GB2312"/>
        </w:rPr>
        <w:t>详见附件：项目业绩一览表.docx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