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版本号：KFZB202604070120260403001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2025年第五批省级水利救灾资金西安市临潼区五里河大西高铁段水毁修复工程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KFZB2026040701</w:t>
      </w:r>
      <w:r>
        <w:br/>
      </w:r>
      <w:r>
        <w:br/>
      </w:r>
      <w:r>
        <w:br/>
      </w:r>
    </w:p>
    <w:p>
      <w:pPr>
        <w:pStyle w:val="null3"/>
        <w:jc w:val="center"/>
        <w:outlineLvl w:val="2"/>
      </w:pPr>
      <w:r>
        <w:rPr>
          <w:rFonts w:ascii="仿宋_GB2312" w:hAnsi="仿宋_GB2312" w:cs="仿宋_GB2312" w:eastAsia="仿宋_GB2312"/>
          <w:sz w:val="28"/>
          <w:b/>
        </w:rPr>
        <w:t>西安市临潼区水务局</w:t>
      </w:r>
    </w:p>
    <w:p>
      <w:pPr>
        <w:pStyle w:val="null3"/>
        <w:jc w:val="center"/>
        <w:outlineLvl w:val="2"/>
      </w:pPr>
      <w:r>
        <w:rPr>
          <w:rFonts w:ascii="仿宋_GB2312" w:hAnsi="仿宋_GB2312" w:cs="仿宋_GB2312" w:eastAsia="仿宋_GB2312"/>
          <w:sz w:val="28"/>
          <w:b/>
        </w:rPr>
        <w:t>陕西康丰建设项目管理有限公司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陕西康丰建设项目管理有限公司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西安市临潼区水务局</w:t>
      </w:r>
      <w:r>
        <w:rPr>
          <w:rFonts w:ascii="仿宋_GB2312" w:hAnsi="仿宋_GB2312" w:cs="仿宋_GB2312" w:eastAsia="仿宋_GB2312"/>
        </w:rPr>
        <w:t>委托，拟对</w:t>
      </w:r>
      <w:r>
        <w:rPr>
          <w:rFonts w:ascii="仿宋_GB2312" w:hAnsi="仿宋_GB2312" w:cs="仿宋_GB2312" w:eastAsia="仿宋_GB2312"/>
        </w:rPr>
        <w:t>2025年第五批省级水利救灾资金西安市临潼区五里河大西高铁段水毁修复工程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KFZB2026040701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2025年第五批省级水利救灾资金西安市临潼区五里河大西高铁段水毁修复工程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2025年第五批省级水利救灾资金西安市临潼区五里河大西高铁段水毁修复工程，结合工程区护岸现状，拟定修复河道291米。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采购包1（2025年第五批省级水利救灾资金西安市临潼区五里河大西高铁段水毁修复工程）：属于专门面向中小企业采购。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1、营业执照：供应商应具备独立承担民事责任的能力，具有法人、事业法人、其它组织的营业执照等证明文件；供应商需在项目电子化交易系统中按要求上传相应证明文件并进行电子签章。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授权书：法定代表人授权委托书（附法定代表人身份证复印件）及被授权委托人身份证（法定代表人参加投标只须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3、供应商资质：供应商具有水利水电工程施工总承包三级（含三级）以上资质，并具有有效的安全生产许可证；供应商需在项目电子化交易系统中按要求上传相应证明文件并进行电子签章。</w:t>
      </w:r>
    </w:p>
    <w:p>
      <w:pPr>
        <w:pStyle w:val="null3"/>
      </w:pPr>
      <w:r>
        <w:rPr>
          <w:rFonts w:ascii="仿宋_GB2312" w:hAnsi="仿宋_GB2312" w:cs="仿宋_GB2312" w:eastAsia="仿宋_GB2312"/>
        </w:rPr>
        <w:t>4、拟派项目经理资质和专业要求：专业等级：拟派项目经理须具备水利水电工程专业二级（含二级）以上注册建造师资格,具有有效的安全生产考核合格证书（水安B证），且未担任其他在建工程项目的项目经理声明；供应商需在项目电子化交易系统中按要求上传相应证明文件并进行电子签章。</w:t>
      </w:r>
    </w:p>
    <w:p>
      <w:pPr>
        <w:pStyle w:val="null3"/>
      </w:pPr>
      <w:r>
        <w:rPr>
          <w:rFonts w:ascii="仿宋_GB2312" w:hAnsi="仿宋_GB2312" w:cs="仿宋_GB2312" w:eastAsia="仿宋_GB2312"/>
        </w:rPr>
        <w:t>5、财务状况报告：提供具有财务审计资质单位出具的2024年度的财务审计报告（成立时间不到一年的可提供成立后任意时段的资产负债表）或响应文件递截止时间前六个月内其基本账户银行出具的资信证明（附基本账户证明）或政府采购信用担保机构出具的磋商担保函。供应商需在项目电子化交易系统中按要求上传相应证明文件并进行电子签章。</w:t>
      </w:r>
    </w:p>
    <w:p>
      <w:pPr>
        <w:pStyle w:val="null3"/>
      </w:pPr>
      <w:r>
        <w:rPr>
          <w:rFonts w:ascii="仿宋_GB2312" w:hAnsi="仿宋_GB2312" w:cs="仿宋_GB2312" w:eastAsia="仿宋_GB2312"/>
        </w:rPr>
        <w:t>6、税收缴纳证明：提供投标截止日前6个月内已缴纳的至少一个月的纳税证明或完税证明，依法免税的单位应提供相关证明材料，供应商需在项目电子化交易系统中按要求上传相应证明文件并进行电子签章。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7、社会保障资金缴纳证明：提供投标截止日前6个月内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8、参加政府采购活动前三年内无重大违法记录：参加政府采购活动前3年内经营活动中无重大违法记录声明，供应商需在项目电子化交易系统中按要求上传相应证明文件并进行电子签章。</w:t>
      </w:r>
    </w:p>
    <w:p>
      <w:pPr>
        <w:pStyle w:val="null3"/>
      </w:pPr>
      <w:r>
        <w:rPr>
          <w:rFonts w:ascii="仿宋_GB2312" w:hAnsi="仿宋_GB2312" w:cs="仿宋_GB2312" w:eastAsia="仿宋_GB2312"/>
        </w:rPr>
        <w:t>9、供应商信誉：供应商未被“信用中国”网站(https://www.creditchina.gov.cn/)列入失信被执行人和重大税收违法失信主体，未被中国政府采购网(http://www.ccgp.gov.cn/index.shtml)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10、履行本合同所必需的设备和专业技术能力：提供具有履行本合同所必需的设备和专业技术能力的说明及承诺。供应商需在项目电子化交易系统中按要求上传相应证明文件并进行电子签章。</w:t>
      </w:r>
    </w:p>
    <w:p>
      <w:pPr>
        <w:pStyle w:val="null3"/>
      </w:pPr>
      <w:r>
        <w:rPr>
          <w:rFonts w:ascii="仿宋_GB2312" w:hAnsi="仿宋_GB2312" w:cs="仿宋_GB2312" w:eastAsia="仿宋_GB2312"/>
        </w:rPr>
        <w:t>11、非联合体投标声明：提供非联合体投标声明。供应商需在项目电子化交易系统中按要求上传相应证明文件并进行电子签章。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临潼区秦陵南路28号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张林红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15929484443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陕西康丰建设项目管理有限公司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陕西省西安市临潼区陕西省西安市临潼区西关正街铁一处小区6号楼1单元北侧一楼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田元香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17791292671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采购包1：1,711,032.40元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成交供应商在领取中标（成交）通知书时，参照国家计委2002年颁发的《招标代理服务收费管理暂行办法》(计价格〔2002〕1980号)、“发改办价格(2003)857号文”及国家发改委2011年颁布的《国家发展改革委关于降低部分建设项目收费标准规范收费行为等有关问题的通知》（发改价格[2011]534号）采用现金、转账或汇款方式交纳招标服务费； 2、工程量清单及招标控制价编制费：以对外发布的招标控制价金额作为计费收取基数，由招标代理机构按陕价行发【2014】88号取费标准向中标/成交供应商收取工程量清单及招标控制价编制费。 招标代理服务费、工程量清单及招标控制价编制费指定银行账户 户 名：陕西康丰建设项目管理有限公司 开户行：中国工商银行股份有限公司西安临潼区支行 账 号：3700029209200068450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西安市临潼区水务局</w:t>
      </w:r>
      <w:r>
        <w:rPr>
          <w:rFonts w:ascii="仿宋_GB2312" w:hAnsi="仿宋_GB2312" w:cs="仿宋_GB2312" w:eastAsia="仿宋_GB2312"/>
        </w:rPr>
        <w:t>和</w:t>
      </w:r>
      <w:r>
        <w:rPr>
          <w:rFonts w:ascii="仿宋_GB2312" w:hAnsi="仿宋_GB2312" w:cs="仿宋_GB2312" w:eastAsia="仿宋_GB2312"/>
        </w:rPr>
        <w:t>陕西康丰建设项目管理有限公司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陕西康丰建设项目管理有限公司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陕西康丰建设项目管理有限公司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联系人：田元香</w:t>
      </w:r>
    </w:p>
    <w:p>
      <w:pPr>
        <w:pStyle w:val="null3"/>
      </w:pPr>
      <w:r>
        <w:rPr>
          <w:rFonts w:ascii="仿宋_GB2312" w:hAnsi="仿宋_GB2312" w:cs="仿宋_GB2312" w:eastAsia="仿宋_GB2312"/>
        </w:rPr>
        <w:t>联系电话：17791292671</w:t>
      </w:r>
    </w:p>
    <w:p>
      <w:pPr>
        <w:pStyle w:val="null3"/>
      </w:pPr>
      <w:r>
        <w:rPr>
          <w:rFonts w:ascii="仿宋_GB2312" w:hAnsi="仿宋_GB2312" w:cs="仿宋_GB2312" w:eastAsia="仿宋_GB2312"/>
        </w:rPr>
        <w:t>地址：西安市临潼区西关正街铁一处小区6号楼1单元北侧1楼</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1,711,032.40</w:t>
      </w:r>
    </w:p>
    <w:p>
      <w:pPr>
        <w:pStyle w:val="null3"/>
      </w:pPr>
      <w:r>
        <w:rPr>
          <w:rFonts w:ascii="仿宋_GB2312" w:hAnsi="仿宋_GB2312" w:cs="仿宋_GB2312" w:eastAsia="仿宋_GB2312"/>
        </w:rPr>
        <w:t>采购包最高限价（元）: 1,711,032.40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2025年第五批省级水利救灾资金西安市临潼区五里河大西高铁段水毁修复工程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1,711,032.40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标的名称：2025年第五批省级水利救灾资金西安市临潼区五里河大西高铁段水毁修复工程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00"/>
              </w:rPr>
              <w:t>一、项目概况</w:t>
            </w:r>
          </w:p>
          <w:p>
            <w:pPr>
              <w:pStyle w:val="null3"/>
            </w:pPr>
            <w:r>
              <w:rPr>
                <w:rFonts w:ascii="仿宋_GB2312" w:hAnsi="仿宋_GB2312" w:cs="仿宋_GB2312" w:eastAsia="仿宋_GB2312"/>
              </w:rPr>
              <w:t>项目名称：</w:t>
            </w:r>
            <w:r>
              <w:rPr>
                <w:rFonts w:ascii="仿宋_GB2312" w:hAnsi="仿宋_GB2312" w:cs="仿宋_GB2312" w:eastAsia="仿宋_GB2312"/>
              </w:rPr>
              <w:t>2025年第五批省级水利救灾资金西安市临潼区五里河大西高铁段水毁修复工程</w:t>
            </w:r>
            <w:r>
              <w:rPr>
                <w:rFonts w:ascii="仿宋_GB2312" w:hAnsi="仿宋_GB2312" w:cs="仿宋_GB2312" w:eastAsia="仿宋_GB2312"/>
              </w:rPr>
              <w:t>。</w:t>
            </w:r>
          </w:p>
          <w:p>
            <w:pPr>
              <w:pStyle w:val="null3"/>
            </w:pPr>
            <w:r>
              <w:rPr>
                <w:rFonts w:ascii="仿宋_GB2312" w:hAnsi="仿宋_GB2312" w:cs="仿宋_GB2312" w:eastAsia="仿宋_GB2312"/>
              </w:rPr>
              <w:t>工程内容：</w:t>
            </w:r>
            <w:r>
              <w:rPr>
                <w:rFonts w:ascii="仿宋_GB2312" w:hAnsi="仿宋_GB2312" w:cs="仿宋_GB2312" w:eastAsia="仿宋_GB2312"/>
              </w:rPr>
              <w:t>修复河道</w:t>
            </w:r>
            <w:r>
              <w:rPr>
                <w:rFonts w:ascii="仿宋_GB2312" w:hAnsi="仿宋_GB2312" w:cs="仿宋_GB2312" w:eastAsia="仿宋_GB2312"/>
              </w:rPr>
              <w:t>291米</w:t>
            </w:r>
            <w:r>
              <w:rPr>
                <w:rFonts w:ascii="仿宋_GB2312" w:hAnsi="仿宋_GB2312" w:cs="仿宋_GB2312" w:eastAsia="仿宋_GB2312"/>
              </w:rPr>
              <w:t>，详见磋商文件及工程量清单。</w:t>
            </w:r>
          </w:p>
          <w:p>
            <w:pPr>
              <w:pStyle w:val="null3"/>
              <w:jc w:val="both"/>
            </w:pPr>
            <w:r>
              <w:rPr>
                <w:rFonts w:ascii="仿宋_GB2312" w:hAnsi="仿宋_GB2312" w:cs="仿宋_GB2312" w:eastAsia="仿宋_GB2312"/>
                <w:sz w:val="20"/>
                <w:b/>
                <w:color w:val="000000"/>
              </w:rPr>
              <w:t>二、主要建设内容和施工地点、计划工期、质量标准</w:t>
            </w:r>
          </w:p>
          <w:p>
            <w:pPr>
              <w:pStyle w:val="null3"/>
              <w:jc w:val="both"/>
            </w:pPr>
            <w:r>
              <w:rPr>
                <w:rFonts w:ascii="仿宋_GB2312" w:hAnsi="仿宋_GB2312" w:cs="仿宋_GB2312" w:eastAsia="仿宋_GB2312"/>
              </w:rPr>
              <w:t>（一）主要建设内容：</w:t>
            </w:r>
            <w:r>
              <w:rPr>
                <w:rFonts w:ascii="仿宋_GB2312" w:hAnsi="仿宋_GB2312" w:cs="仿宋_GB2312" w:eastAsia="仿宋_GB2312"/>
              </w:rPr>
              <w:t>修复河道</w:t>
            </w:r>
            <w:r>
              <w:rPr>
                <w:rFonts w:ascii="仿宋_GB2312" w:hAnsi="仿宋_GB2312" w:cs="仿宋_GB2312" w:eastAsia="仿宋_GB2312"/>
              </w:rPr>
              <w:t>291米</w:t>
            </w:r>
            <w:r>
              <w:rPr>
                <w:rFonts w:ascii="仿宋_GB2312" w:hAnsi="仿宋_GB2312" w:cs="仿宋_GB2312" w:eastAsia="仿宋_GB2312"/>
              </w:rPr>
              <w:t>，详见磋商文件及工程量清单。</w:t>
            </w:r>
          </w:p>
          <w:p>
            <w:pPr>
              <w:pStyle w:val="null3"/>
              <w:jc w:val="left"/>
            </w:pPr>
            <w:r>
              <w:rPr>
                <w:rFonts w:ascii="仿宋_GB2312" w:hAnsi="仿宋_GB2312" w:cs="仿宋_GB2312" w:eastAsia="仿宋_GB2312"/>
                <w:sz w:val="21"/>
              </w:rPr>
              <w:t>（二）施工地点：该项目位于</w:t>
            </w:r>
            <w:r>
              <w:rPr>
                <w:rFonts w:ascii="仿宋_GB2312" w:hAnsi="仿宋_GB2312" w:cs="仿宋_GB2312" w:eastAsia="仿宋_GB2312"/>
                <w:sz w:val="21"/>
              </w:rPr>
              <w:t>临潼区行者街道</w:t>
            </w:r>
            <w:r>
              <w:rPr>
                <w:rFonts w:ascii="仿宋_GB2312" w:hAnsi="仿宋_GB2312" w:cs="仿宋_GB2312" w:eastAsia="仿宋_GB2312"/>
                <w:sz w:val="21"/>
              </w:rPr>
              <w:t>。</w:t>
            </w:r>
          </w:p>
          <w:p>
            <w:pPr>
              <w:pStyle w:val="null3"/>
            </w:pPr>
            <w:r>
              <w:rPr>
                <w:rFonts w:ascii="仿宋_GB2312" w:hAnsi="仿宋_GB2312" w:cs="仿宋_GB2312" w:eastAsia="仿宋_GB2312"/>
              </w:rPr>
              <w:t>（三）计划工期：</w:t>
            </w:r>
            <w:r>
              <w:rPr>
                <w:rFonts w:ascii="仿宋_GB2312" w:hAnsi="仿宋_GB2312" w:cs="仿宋_GB2312" w:eastAsia="仿宋_GB2312"/>
              </w:rPr>
              <w:t>6</w:t>
            </w:r>
            <w:r>
              <w:rPr>
                <w:rFonts w:ascii="仿宋_GB2312" w:hAnsi="仿宋_GB2312" w:cs="仿宋_GB2312" w:eastAsia="仿宋_GB2312"/>
              </w:rPr>
              <w:t>0日历天。</w:t>
            </w:r>
          </w:p>
          <w:p>
            <w:pPr>
              <w:pStyle w:val="null3"/>
            </w:pPr>
            <w:r>
              <w:rPr>
                <w:rFonts w:ascii="仿宋_GB2312" w:hAnsi="仿宋_GB2312" w:cs="仿宋_GB2312" w:eastAsia="仿宋_GB2312"/>
                <w:sz w:val="21"/>
              </w:rPr>
              <w:t>（四）质量标准：达到国家现行施工质量验收规范</w:t>
            </w:r>
            <w:r>
              <w:rPr>
                <w:rFonts w:ascii="仿宋_GB2312" w:hAnsi="仿宋_GB2312" w:cs="仿宋_GB2312" w:eastAsia="仿宋_GB2312"/>
                <w:sz w:val="21"/>
              </w:rPr>
              <w:t>“合格”标准。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需要在线提交所有通过电子化交易平台实施的政府采购项目的响应文件，同时，线下在开标之前提交投标文件正本壹份、副本贰份、电子U盘2份(标明供应商名称，随正本密封，u盘内放word文件及上传的签字盖章文件，软件版投标报价)。 若电子响应文件与纸质响应文件不一致的，以电子响应文件为准。线下递交文件截止时间:在开标时间截止之前；线下递交文件地点为:西安市临潼区西关正街铁一处小区6号楼1单元北侧1楼。 2、本项目成交单位与西安市临潼区防洪排涝及水毁修复项目建设管理处签订施工合同及其他相关文件。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政府采购供应商拒绝政府采购领域商业贿赂承诺书.docx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的财务审计报告（成立时间不到一年的可提供成立后任意时段的资产负债表）或响应文件递截止时间前六个月内其基本账户银行出具的资信证明（附基本账户证明）或政府采购信用担保机构出具的磋商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政府采购供应商拒绝政府采购领域商业贿赂承诺书.docx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供应商应具备独立承担民事责任的能力，具有法人、事业法人、其它组织的营业执照等证明文件；供应商需在项目电子化交易系统中按要求上传相应证明文件并进行电子签章。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供应商具有水利水电工程施工总承包三级（含三级）以上资质，并具有有效的安全生产许可证；供应商需在项目电子化交易系统中按要求上传相应证明文件并进行电子签章。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专业等级：拟派项目经理须具备水利水电工程专业二级（含二级）以上注册建造师资格,具有有效的安全生产考核合格证书（水安B证），且未担任其他在建工程项目的项目经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的财务审计报告（成立时间不到一年的可提供成立后任意时段的资产负债表）或响应文件递截止时间前六个月内其基本账户银行出具的资信证明（附基本账户证明）或政府采购信用担保机构出具的磋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参加政府采购活动前三年内无重大违法记录</w:t>
            </w:r>
          </w:p>
        </w:tc>
        <w:tc>
          <w:tcPr>
            <w:tcW w:type="dxa" w:w="3322"/>
          </w:tcPr>
          <w:p>
            <w:pPr>
              <w:pStyle w:val="null3"/>
            </w:pPr>
            <w:r>
              <w:rPr>
                <w:rFonts w:ascii="仿宋_GB2312" w:hAnsi="仿宋_GB2312" w:cs="仿宋_GB2312" w:eastAsia="仿宋_GB2312"/>
              </w:rPr>
              <w:t>参加政府采购活动前3年内经营活动中无重大违法记录声明，供应商需在项目电子化交易系统中按要求上传相应证明文件并进行电子签章。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未被“信用中国”网站(https://www.creditchina.gov.cn/)列入失信被执行人和重大税收违法失信主体，未被中国政府采购网(http://www.ccgp.gov.cn/index.shtml)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提供具有履行本合同所必需的设备和专业技术能力的说明及承诺。供应商需在项目电子化交易系统中按要求上传相应证明文件并进行电子签章。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即低于最高限价的85%），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（1）响应文件的签署盖章：均按磋商文件要求签字、盖章。 （2）响应文件格式：符合“响应文件格式”的规定 （3）报价唯一：只能有一个有效报价，不得提交选择性报价，且报价不超过招标文件规定的采购预算金额或最高限价。</w:t>
            </w:r>
          </w:p>
        </w:tc>
        <w:tc>
          <w:tcPr>
            <w:tcW w:type="dxa" w:w="1661"/>
          </w:tcPr>
          <w:p>
            <w:pPr>
              <w:pStyle w:val="null3"/>
            </w:pPr>
            <w:r>
              <w:rPr>
                <w:rFonts w:ascii="仿宋_GB2312" w:hAnsi="仿宋_GB2312" w:cs="仿宋_GB2312" w:eastAsia="仿宋_GB2312"/>
              </w:rPr>
              <w:t>技术方案.docx 已标价工程量清单 中小企业声明函 资格证明文件.docx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技术方案.docx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总体思路清晰、合理、可操作性强、可执行程度强，且能很好推动项目实施得8～12（含）分；方案总体思路基本明确、可行性、合理性高得4～8(含)分；方案思路模糊、可行性、合理性一般得0～4(含)分。本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确保本项目质量的技术组织措施</w:t>
            </w:r>
          </w:p>
        </w:tc>
        <w:tc>
          <w:tcPr>
            <w:tcW w:type="dxa" w:w="2492"/>
          </w:tcPr>
          <w:p>
            <w:pPr>
              <w:pStyle w:val="null3"/>
            </w:pPr>
            <w:r>
              <w:rPr>
                <w:rFonts w:ascii="仿宋_GB2312" w:hAnsi="仿宋_GB2312" w:cs="仿宋_GB2312" w:eastAsia="仿宋_GB2312"/>
              </w:rPr>
              <w:t>确保本项目质量的技术组织措施，措施内容科学可行、有针对性且内容详细计4～8（含）分，措施内容较为可行、针对性不强、内容简单计0～4（含）分，本项满分8分；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确保安全生产和文明施工的技术组织措施</w:t>
            </w:r>
          </w:p>
        </w:tc>
        <w:tc>
          <w:tcPr>
            <w:tcW w:type="dxa" w:w="2492"/>
          </w:tcPr>
          <w:p>
            <w:pPr>
              <w:pStyle w:val="null3"/>
            </w:pPr>
            <w:r>
              <w:rPr>
                <w:rFonts w:ascii="仿宋_GB2312" w:hAnsi="仿宋_GB2312" w:cs="仿宋_GB2312" w:eastAsia="仿宋_GB2312"/>
              </w:rPr>
              <w:t>确保安全生产和文明施工的技术组织措施，措施内容科学可行、有针对性且内容详细计4～8（含）分，措施内容较为可行、针对性不强、内容简单计0～4（含）分，本项满分8分；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确保工期的技术组织措施，措施内容科学可行、有针对性且内容详细计4～8（含）分，措施内容较为可行、针对性不强、内容简单计0～4（含）分，本项满分8分；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确保治污减霾和防尘污染的技术组织措施</w:t>
            </w:r>
          </w:p>
        </w:tc>
        <w:tc>
          <w:tcPr>
            <w:tcW w:type="dxa" w:w="2492"/>
          </w:tcPr>
          <w:p>
            <w:pPr>
              <w:pStyle w:val="null3"/>
            </w:pPr>
            <w:r>
              <w:rPr>
                <w:rFonts w:ascii="仿宋_GB2312" w:hAnsi="仿宋_GB2312" w:cs="仿宋_GB2312" w:eastAsia="仿宋_GB2312"/>
              </w:rPr>
              <w:t>确保治污减霾和防尘污染的技术组织措施，措施内容科学可行、有针对性且内容详细计4～8（含）分，措施内容较为可行、针对性不强、内容简单计0～4（含）分，本项满分8分；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项目经理部组成及劳动力投入，人员搭配合理，数量充足，经验丰富，证明材料详尽计4～8（含）分，人员搭配较为合理，数量较充足，经验不足，证明材料不够详尽计0～4（含）分，本项满分8分；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施工机械及工器具的配备情况</w:t>
            </w:r>
          </w:p>
        </w:tc>
        <w:tc>
          <w:tcPr>
            <w:tcW w:type="dxa" w:w="2492"/>
          </w:tcPr>
          <w:p>
            <w:pPr>
              <w:pStyle w:val="null3"/>
            </w:pPr>
            <w:r>
              <w:rPr>
                <w:rFonts w:ascii="仿宋_GB2312" w:hAnsi="仿宋_GB2312" w:cs="仿宋_GB2312" w:eastAsia="仿宋_GB2312"/>
              </w:rPr>
              <w:t>施工机械及施工器具的配备情况，机械、设备安排合理、完整计4～8（含）分，机械、设备安排简单计0～4（含）分，本项满分8分；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施工进度表或施工网络图（进度表或网络图结构清晰、安排科学合理计2～5（含）分；进度表或网络图结构基本清晰、安排合理计1～2（含）分，未提供不计分。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供应商提供2023年以来类似项目业绩合同（以合同签订时间为准），每份计2.5分，满分5分。（注：以上证明文件在磋商响应文件中附业绩合同扫描件并加盖公章）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