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版本号：SX-HTZY-2026000320260407001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临潼区相桥街道相桥村道路提升改造项目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SX-HTZY-20260003</w:t>
      </w:r>
      <w:r>
        <w:br/>
      </w:r>
      <w:r>
        <w:br/>
      </w:r>
      <w:r>
        <w:br/>
      </w:r>
    </w:p>
    <w:p>
      <w:pPr>
        <w:pStyle w:val="null3"/>
        <w:jc w:val="center"/>
        <w:outlineLvl w:val="2"/>
      </w:pPr>
      <w:r>
        <w:rPr>
          <w:rFonts w:ascii="仿宋_GB2312" w:hAnsi="仿宋_GB2312" w:cs="仿宋_GB2312" w:eastAsia="仿宋_GB2312"/>
          <w:sz w:val="28"/>
          <w:b/>
        </w:rPr>
        <w:t>西安市临潼区相桥街道办事处</w:t>
      </w:r>
    </w:p>
    <w:p>
      <w:pPr>
        <w:pStyle w:val="null3"/>
        <w:jc w:val="center"/>
        <w:outlineLvl w:val="2"/>
      </w:pPr>
      <w:r>
        <w:rPr>
          <w:rFonts w:ascii="仿宋_GB2312" w:hAnsi="仿宋_GB2312" w:cs="仿宋_GB2312" w:eastAsia="仿宋_GB2312"/>
          <w:sz w:val="28"/>
          <w:b/>
        </w:rPr>
        <w:t>陕西恒泰众业项目管理有限公司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陕西恒泰众业项目管理有限公司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西安市临潼区相桥街道办事处</w:t>
      </w:r>
      <w:r>
        <w:rPr>
          <w:rFonts w:ascii="仿宋_GB2312" w:hAnsi="仿宋_GB2312" w:cs="仿宋_GB2312" w:eastAsia="仿宋_GB2312"/>
        </w:rPr>
        <w:t>委托，拟对</w:t>
      </w:r>
      <w:r>
        <w:rPr>
          <w:rFonts w:ascii="仿宋_GB2312" w:hAnsi="仿宋_GB2312" w:cs="仿宋_GB2312" w:eastAsia="仿宋_GB2312"/>
        </w:rPr>
        <w:t>临潼区相桥街道相桥村道路提升改造项目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SX-HTZY-20260003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临潼区相桥街道相桥村道路提升改造项目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1.相桥村东北组、西北组、范马张组、尚庄组、北河组组内道路沥青路面改造11250平方米，长2500米、宽4.5米、厚5厘米，村内道路两侧改造，铺设路沿1000米。 2.村级道路水泥道沿铺设6600米及道路两侧改造。 3.南街组内铺设道路排水暗排222米Φ40波纹管、150米Φ20波纹管。 4.西街道路两侧人行道铺设渗水砖1250平方米。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采购包1（临潼区相桥街道相桥村道路提升改造项目）：属于专门面向中小企业采购。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1、有效的主体资格证明：供应商应是合法注册的法人或其他组织,并出具合法有效的营业执照、组织机构代码证、税务登记证（或统一社会信用代码的营业执照）；</w:t>
      </w:r>
    </w:p>
    <w:p>
      <w:pPr>
        <w:pStyle w:val="null3"/>
      </w:pPr>
      <w:r>
        <w:rPr>
          <w:rFonts w:ascii="仿宋_GB2312" w:hAnsi="仿宋_GB2312" w:cs="仿宋_GB2312" w:eastAsia="仿宋_GB2312"/>
        </w:rPr>
        <w:t>2、基本资格条件承诺函：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或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一年内已缴纳的至少一个月的纳税证明或完税证明，依法免税的单位应提供相关证明材料；③社会保障资金缴纳证明：提供磋商截止日前一年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3、法定代表人授权书：提供法定代表人授权书（附法定代表人、被授权人身份证复印件），法定代表人直接参加磋商，须提供法定代表人身份证明；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4、供应商资质要求：供应商应具备行政主管部门颁发的市政公用工程施工总承包三级以上(含三级)资质，同时具有合格有效的安全生产许可证；</w:t>
      </w:r>
    </w:p>
    <w:p>
      <w:pPr>
        <w:pStyle w:val="null3"/>
      </w:pPr>
      <w:r>
        <w:rPr>
          <w:rFonts w:ascii="仿宋_GB2312" w:hAnsi="仿宋_GB2312" w:cs="仿宋_GB2312" w:eastAsia="仿宋_GB2312"/>
        </w:rPr>
        <w:t>5、拟派项目经理资质和专业要求：拟派项目经理应具有市政公用工程二级及以上注册建造师执业资格，具有有效的安全生产考核合格证书（B 证），在本单位注册且无在建工程（提供无在建项目承诺书)；</w:t>
      </w:r>
    </w:p>
    <w:p>
      <w:pPr>
        <w:pStyle w:val="null3"/>
      </w:pPr>
      <w:r>
        <w:rPr>
          <w:rFonts w:ascii="仿宋_GB2312" w:hAnsi="仿宋_GB2312" w:cs="仿宋_GB2312" w:eastAsia="仿宋_GB2312"/>
        </w:rPr>
        <w:t>6、联合体：本项目不接受联合体投标（提供承诺书）。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西安市临潼区相桥街道办事处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临潼区相桥街道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13488339003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陕西恒泰众业项目管理有限公司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陕西省西安市临潼区东风商务楼五楼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029-83855569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采购包1：1,997,590.26元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服务收费管理暂行办法的通知》（计价格〔2002〕1980号）和国家发改委办公厅《关于招标代理服务收费有关问题的通知》（发改办价格〔2003〕857号）文件规定标准收取。由中标供应商一次性全额支付招标代理服务费。 户名：陕西恒泰众业项目管理有限公司 开户银行：中国银行股份有限公司陕西自贸试验区杨凌片区支行 账户号码：102096134814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西安市临潼区相桥街道办事处</w:t>
      </w:r>
      <w:r>
        <w:rPr>
          <w:rFonts w:ascii="仿宋_GB2312" w:hAnsi="仿宋_GB2312" w:cs="仿宋_GB2312" w:eastAsia="仿宋_GB2312"/>
        </w:rPr>
        <w:t>和</w:t>
      </w:r>
      <w:r>
        <w:rPr>
          <w:rFonts w:ascii="仿宋_GB2312" w:hAnsi="仿宋_GB2312" w:cs="仿宋_GB2312" w:eastAsia="仿宋_GB2312"/>
        </w:rPr>
        <w:t>陕西恒泰众业项目管理有限公司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西安市临潼区相桥街道办事处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陕西恒泰众业项目管理有限公司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西安市临潼区相桥街道办事处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陕西恒泰众业项目管理有限公司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陕西恒泰众业项目管理有限公司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联系人：罗工</w:t>
      </w:r>
    </w:p>
    <w:p>
      <w:pPr>
        <w:pStyle w:val="null3"/>
      </w:pPr>
      <w:r>
        <w:rPr>
          <w:rFonts w:ascii="仿宋_GB2312" w:hAnsi="仿宋_GB2312" w:cs="仿宋_GB2312" w:eastAsia="仿宋_GB2312"/>
        </w:rPr>
        <w:t>联系电话：029-83855569</w:t>
      </w:r>
    </w:p>
    <w:p>
      <w:pPr>
        <w:pStyle w:val="null3"/>
      </w:pPr>
      <w:r>
        <w:rPr>
          <w:rFonts w:ascii="仿宋_GB2312" w:hAnsi="仿宋_GB2312" w:cs="仿宋_GB2312" w:eastAsia="仿宋_GB2312"/>
        </w:rPr>
        <w:t>地址：陕西省西安市临潼区东风商务楼五楼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1,997,590.26</w:t>
      </w:r>
    </w:p>
    <w:p>
      <w:pPr>
        <w:pStyle w:val="null3"/>
      </w:pPr>
      <w:r>
        <w:rPr>
          <w:rFonts w:ascii="仿宋_GB2312" w:hAnsi="仿宋_GB2312" w:cs="仿宋_GB2312" w:eastAsia="仿宋_GB2312"/>
        </w:rPr>
        <w:t>采购包最高限价（元）: 1,997,590.26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临潼区相桥街道相桥村道路提升改造项目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1,997,590.26</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标的名称：临潼区相桥街道相桥村道路提升改造项目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相桥村东北组、西北组、范马张组、尚庄组、北河组组内道路沥青路面改造</w:t>
            </w:r>
            <w:r>
              <w:rPr>
                <w:rFonts w:ascii="仿宋_GB2312" w:hAnsi="仿宋_GB2312" w:cs="仿宋_GB2312" w:eastAsia="仿宋_GB2312"/>
                <w:sz w:val="24"/>
              </w:rPr>
              <w:t>11250平方米，长2500米、</w:t>
            </w:r>
            <w:r>
              <w:rPr>
                <w:rFonts w:ascii="仿宋_GB2312" w:hAnsi="仿宋_GB2312" w:cs="仿宋_GB2312" w:eastAsia="仿宋_GB2312"/>
                <w:sz w:val="24"/>
              </w:rPr>
              <w:t>宽</w:t>
            </w:r>
            <w:r>
              <w:rPr>
                <w:rFonts w:ascii="仿宋_GB2312" w:hAnsi="仿宋_GB2312" w:cs="仿宋_GB2312" w:eastAsia="仿宋_GB2312"/>
                <w:sz w:val="24"/>
              </w:rPr>
              <w:t>4.5米</w:t>
            </w:r>
            <w:r>
              <w:rPr>
                <w:rFonts w:ascii="仿宋_GB2312" w:hAnsi="仿宋_GB2312" w:cs="仿宋_GB2312" w:eastAsia="仿宋_GB2312"/>
                <w:sz w:val="24"/>
              </w:rPr>
              <w:t>、</w:t>
            </w:r>
            <w:r>
              <w:rPr>
                <w:rFonts w:ascii="仿宋_GB2312" w:hAnsi="仿宋_GB2312" w:cs="仿宋_GB2312" w:eastAsia="仿宋_GB2312"/>
                <w:sz w:val="24"/>
              </w:rPr>
              <w:t>厚</w:t>
            </w:r>
            <w:r>
              <w:rPr>
                <w:rFonts w:ascii="仿宋_GB2312" w:hAnsi="仿宋_GB2312" w:cs="仿宋_GB2312" w:eastAsia="仿宋_GB2312"/>
                <w:sz w:val="24"/>
              </w:rPr>
              <w:t>5厘米，村内道路两侧改造</w:t>
            </w:r>
            <w:r>
              <w:rPr>
                <w:rFonts w:ascii="仿宋_GB2312" w:hAnsi="仿宋_GB2312" w:cs="仿宋_GB2312" w:eastAsia="仿宋_GB2312"/>
                <w:sz w:val="24"/>
              </w:rPr>
              <w:t>，</w:t>
            </w:r>
            <w:r>
              <w:rPr>
                <w:rFonts w:ascii="仿宋_GB2312" w:hAnsi="仿宋_GB2312" w:cs="仿宋_GB2312" w:eastAsia="仿宋_GB2312"/>
                <w:sz w:val="24"/>
              </w:rPr>
              <w:t>铺设路沿</w:t>
            </w:r>
            <w:r>
              <w:rPr>
                <w:rFonts w:ascii="仿宋_GB2312" w:hAnsi="仿宋_GB2312" w:cs="仿宋_GB2312" w:eastAsia="仿宋_GB2312"/>
                <w:sz w:val="24"/>
              </w:rPr>
              <w:t>1000米。</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村级道路水泥道沿铺设</w:t>
            </w:r>
            <w:r>
              <w:rPr>
                <w:rFonts w:ascii="仿宋_GB2312" w:hAnsi="仿宋_GB2312" w:cs="仿宋_GB2312" w:eastAsia="仿宋_GB2312"/>
                <w:sz w:val="24"/>
              </w:rPr>
              <w:t>6600米及道路两侧改造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3.南街组内</w:t>
            </w:r>
            <w:r>
              <w:rPr>
                <w:rFonts w:ascii="仿宋_GB2312" w:hAnsi="仿宋_GB2312" w:cs="仿宋_GB2312" w:eastAsia="仿宋_GB2312"/>
                <w:sz w:val="24"/>
              </w:rPr>
              <w:t>铺设道路排水暗排</w:t>
            </w:r>
            <w:r>
              <w:rPr>
                <w:rFonts w:ascii="仿宋_GB2312" w:hAnsi="仿宋_GB2312" w:cs="仿宋_GB2312" w:eastAsia="仿宋_GB2312"/>
                <w:sz w:val="24"/>
              </w:rPr>
              <w:t>222米Φ40波纹管、</w:t>
            </w:r>
            <w:r>
              <w:rPr>
                <w:rFonts w:ascii="仿宋_GB2312" w:hAnsi="仿宋_GB2312" w:cs="仿宋_GB2312" w:eastAsia="仿宋_GB2312"/>
                <w:sz w:val="24"/>
              </w:rPr>
              <w:t>150米</w:t>
            </w:r>
            <w:r>
              <w:rPr>
                <w:rFonts w:ascii="仿宋_GB2312" w:hAnsi="仿宋_GB2312" w:cs="仿宋_GB2312" w:eastAsia="仿宋_GB2312"/>
                <w:sz w:val="24"/>
              </w:rPr>
              <w:t>Φ</w:t>
            </w:r>
            <w:r>
              <w:rPr>
                <w:rFonts w:ascii="仿宋_GB2312" w:hAnsi="仿宋_GB2312" w:cs="仿宋_GB2312" w:eastAsia="仿宋_GB2312"/>
                <w:sz w:val="24"/>
              </w:rPr>
              <w:t>20波纹管。</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西街道路两侧人行道铺设渗水砖</w:t>
            </w:r>
            <w:r>
              <w:rPr>
                <w:rFonts w:ascii="仿宋_GB2312" w:hAnsi="仿宋_GB2312" w:cs="仿宋_GB2312" w:eastAsia="仿宋_GB2312"/>
                <w:sz w:val="24"/>
              </w:rPr>
              <w:t>1250平方米</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工期：自合同签订之日起120日历天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 提供2024年度或2025年度经审计的财务报告（至少包括审计报告、资产负债表和利润表，成立时间至磋商截止日前不足一年的可提供成立后任意时段的资产负债表）；或在磋商截止日前六个月内其开户银行出具的资信证明；②根据《西安市临潼区财政局关于扩大政府采购供应商基本资格条件承诺制试点工作范围的通知》临财函〔2025〕199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供应商应是合法注册的法人或其他组织,并出具合法有效的营业执照、组织机构代码证、税务登记证（或统一社会信用代码的营业执照）；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 如不提供《基本资格条件承诺函》的供应商需提交以下资格证明文件： ①财务状况报告：提供2024年度或2025年度经审计的财务报告（至少包括审计报告、资产负债表和利润表，成立时间至磋商截止日前不足一年的可提供成立后任意时段的资产负债表）；或在磋商截止日前六个月内其开户银行出具的资信证明；②税收缴纳证明：提供磋商截止日前一年内已缴纳的至少一个月的纳税证明或完税证明，依法免税的单位应提供相关证明材料；③社会保障资金缴纳证明：提供磋商截止日前一年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供应商应具备行政主管部门颁发的市政公用工程施工总承包三级以上(含三级)资质，同时具有合格有效的安全生产许可证；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拟派项目经理应具有市政公用工程二级及以上注册建造师执业资格，具有有效的安全生产考核合格证书（B 证），在本单位注册且无在建工程（提供无在建项目承诺书)；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资格证明文件.docx 施工组织设计.docx 供应商承诺书.docx 响应文件封面 项目管理机构组成表 供应商认为有必要提供的其他证明文件.docx 残疾人福利性单位声明函 报价函 标的清单 供应商类似项目业绩一览表 响应函 主要人员简历表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应满足磋商文件中对工期的要求。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根据针对本项目提供的施工方案进行综合评审。 1、方案内容全面、具体、科学，可行性强，得（10-12分]； 2、方案内容相对全面、具体、科学，可行性相对较强，得（8-10分]； 3、方案内容基本全面、具体，有一定的可行性，得（6-8分]； 4、方案内容不够全面、具体，可行性相对较弱，得（4-6分]； 5、方案内容笼统，可行性有待考究的，得（2-4分]； 6、方案内容不全面、具体，可行性较差，得（0-2分]。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根据针对本项目提供的工程质量技术措施进行综合评审。1、质量保证体系健全，措施科学合理可行性强，满足采购人需求，得（4-6分]； 2、质量保证体系内容较完善，措施有一定合理可行性，基本满足采购人需求，得（2-4分]； 3、质量保证体系及措施简单笼统，无针对性，得（0-2分]。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根据针对本项目提供的安全生产技术措施进行综合评审。1、方案内容具体、详细，合理可行，完全符合采购人安全作业的要求，得（4-6分]； 2、方案内容较详细、较完整，较合理可行，基本符合采购人安全作业的要求，得（2-4分]； 3、方案内容简单笼统，无针对性，得（0-2分]。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根据针对本项目提供的文明施工技术措施进行综合评审。 1、措施计划详尽、合理且切实可行，完全满足采购人需求，得（4-6分]； 2、措施计划较全面、合理、基本可行，基本满足采购人需求，得（2-4分]； 3、措施计划简单笼统，无针对性，得（0-2分]。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根据针对本项目提供的工期技术措施进行综合评审。1、进度计划安排合理、措施有效，工期目标明确，满足采购人要求，得（4-6分]； 2、进度计划安排较合理、措施较有效，工期目标基本清晰，基本满足采购人要求，得（2-4分]； 3、进度计划和工期目标内容简单笼统，无针对性，得（0-2分]。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根据针对本项目提供的项目经理部组成人员进行综合评审。1、针对本项目拟投入项目经理部组成人员结构合理，人员配备齐全，责任明确，佐证材料齐全得（4-6分]； 2、针对本项目拟投入项目经理部组成人员结构基本合理，人员配备基本齐全，责任基本明确，有相关佐证材料得（2-4分]； 3、针对本项目拟投入项目经理部组成人员内容笼统，可行性有待考究的，得（0-2分]。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根据针对本项目提供的施工机械配备和材料投入计划进行综合评审。 1、机具设备数量充足，与项目匹配度高，完全满足项目需要，得（4-6分]； 2、机具设备数量、与项目基本匹配，基本满足项目需要，得（2-4分]； 3、机具设备配置简单，无针对性，无法确保满足项目需要，得（0-2分]。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根据针对本项目提供的劳动力安排计划进行综合评审。 1、劳动力配置合理，专业性强，完全满足项目需要，能够确保项目顺利开展，得（4-6分]； 2、劳动力配置较合理，专业性较强，基本能够确保项目顺利开展，得（2-4分]； 3、劳动力配置简单，专业性、针对性欠缺，得（0-2分]。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提供2023年4月至今承接过类似的项目业绩，每提供一份得2分，最高得10分；没有提供不得分（业绩需提供项目中标通知书或施工合同盖章复印件。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根据供应商为保证工程质量所做的承诺及配套服务（包括但不限于具体的服务内容、响应时间、响应方式、响应计划、服务承诺等）进行综合比较。1、承诺及配套服务内容全面、具体、科学，可行性强，得（4-6分]；2、承诺及配套服务内容不够全面、具体，可行性相对较弱，得（2-4分]；3、承诺及配套服务内容不全面、具体，可行性较差，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磋商报价得分=(磋商基准价／磋商报价)×30%×100 计算分数时四舍五入取小数点后两位 注：因落实政府采购政策进行价格调整的，以调整后的价格计算评标基准价和磋商报价。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详见附件：供应商认为有必要提供的其他证明文件.docx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