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版本号：HYZB20260012.20260408001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代王街办西柳村人居环境及基础设施提升项目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HYZB20260012.</w:t>
      </w:r>
      <w:r>
        <w:br/>
      </w:r>
      <w:r>
        <w:br/>
      </w:r>
      <w:r>
        <w:br/>
      </w:r>
    </w:p>
    <w:p>
      <w:pPr>
        <w:pStyle w:val="null3"/>
        <w:jc w:val="center"/>
        <w:outlineLvl w:val="2"/>
      </w:pPr>
      <w:r>
        <w:rPr>
          <w:rFonts w:ascii="仿宋_GB2312" w:hAnsi="仿宋_GB2312" w:cs="仿宋_GB2312" w:eastAsia="仿宋_GB2312"/>
          <w:sz w:val="28"/>
          <w:b/>
        </w:rPr>
        <w:t>西安市临潼区代王街道办事处</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西安市临潼区代王街道办事处</w:t>
      </w:r>
      <w:r>
        <w:rPr>
          <w:rFonts w:ascii="仿宋_GB2312" w:hAnsi="仿宋_GB2312" w:cs="仿宋_GB2312" w:eastAsia="仿宋_GB2312"/>
        </w:rPr>
        <w:t>委托，拟对</w:t>
      </w:r>
      <w:r>
        <w:rPr>
          <w:rFonts w:ascii="仿宋_GB2312" w:hAnsi="仿宋_GB2312" w:cs="仿宋_GB2312" w:eastAsia="仿宋_GB2312"/>
        </w:rPr>
        <w:t>代王街办西柳村人居环境及基础设施提升项目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代王街办西柳村人居环境及基础设施提升项目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拓宽并黑化路面；新修三条硬化道路；新建污水管道；修复路面并黑，新建挡土墙，新砌水泥道岩石，新建小广场，新安装路灯。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采购包1（代王街办西柳村人居环境及基础设施提升项目）：属于专门面向中小企业采购。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4、供应商资质：须具备市政公用工程施工总承包二级及以上资质，具有有效的安全生产许可证；</w:t>
      </w:r>
    </w:p>
    <w:p>
      <w:pPr>
        <w:pStyle w:val="null3"/>
      </w:pPr>
      <w:r>
        <w:rPr>
          <w:rFonts w:ascii="仿宋_GB2312" w:hAnsi="仿宋_GB2312" w:cs="仿宋_GB2312" w:eastAsia="仿宋_GB2312"/>
        </w:rPr>
        <w:t>5、项目经理：拟派项目经理须具备市政公用工程专业二级及以上注册建造师资格，具备有效的安全生产考核合格证（B 证）；且无在建项目（提供无在建项目承诺书）。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西安市临潼区代王街道办事处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临潼区代王街道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马镓莉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029-83931236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陕西省西安临潼区文化西路37号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西安市临潼区代王街道办事处</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西安市临潼区代王街道办事处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西安市临潼区代王街道办事处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地址：陕西省西安市临潼区文化西路37号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1,995,524.48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代王街办西柳村人居环境及基础设施提升项目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标的名称：代王街办西柳村人居环境及基础设施提升项目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一、工程质量要求与验收依据</w:t>
            </w:r>
          </w:p>
          <w:p>
            <w:pPr>
              <w:pStyle w:val="null3"/>
            </w:pPr>
            <w:r>
              <w:rPr>
                <w:rFonts w:ascii="仿宋_GB2312" w:hAnsi="仿宋_GB2312" w:cs="仿宋_GB2312" w:eastAsia="仿宋_GB2312"/>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rPr>
              <w:t>（2）验收方法：验收应按建筑工程适用的规范或标准及其他相关的规范和标准执行。</w:t>
            </w:r>
          </w:p>
          <w:p>
            <w:pPr>
              <w:pStyle w:val="null3"/>
            </w:pPr>
            <w:r>
              <w:rPr>
                <w:rFonts w:ascii="仿宋_GB2312" w:hAnsi="仿宋_GB2312" w:cs="仿宋_GB2312" w:eastAsia="仿宋_GB2312"/>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rPr>
              <w:t>（4）以最新标准为准。</w:t>
            </w:r>
          </w:p>
          <w:p>
            <w:pPr>
              <w:pStyle w:val="null3"/>
            </w:pPr>
            <w:r>
              <w:rPr>
                <w:rFonts w:ascii="仿宋_GB2312" w:hAnsi="仿宋_GB2312" w:cs="仿宋_GB2312" w:eastAsia="仿宋_GB2312"/>
              </w:rPr>
              <w:t>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rPr>
              <w:t>三、本工程所有主要材料必须符合设计要求及国家有关规定，有出厂合格证，经质检部门检验合格。</w:t>
            </w:r>
          </w:p>
          <w:p>
            <w:pPr>
              <w:pStyle w:val="null3"/>
            </w:pPr>
            <w:r>
              <w:rPr>
                <w:rFonts w:ascii="仿宋_GB2312" w:hAnsi="仿宋_GB2312" w:cs="仿宋_GB2312" w:eastAsia="仿宋_GB2312"/>
              </w:rPr>
              <w:t>四、未尽的工程质量技术要求均按现行国家、省、市有关规范和标准执行。</w:t>
            </w:r>
          </w:p>
          <w:p>
            <w:pPr>
              <w:pStyle w:val="null3"/>
            </w:pPr>
            <w:r>
              <w:rPr>
                <w:rFonts w:ascii="仿宋_GB2312" w:hAnsi="仿宋_GB2312" w:cs="仿宋_GB2312" w:eastAsia="仿宋_GB2312"/>
              </w:rPr>
              <w:t>五、工程量清单及图纸（另附）。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线下递交文件时间：详见本项目招标公告文件截止时间；线下递交文件地点：西安市临潼区文化西路37号。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拟派项目经理须具备市政公用工程专业二级及以上注册建造师资格，具备有效的安全生产考核合格证（B 证）；且无在建项目（提供无在建项目承诺书）。</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只能有一个有效报价，不得提交选择性报价，按要求提交二次或多次报价，且第一轮报价不超过最高限价，第二轮报价不超过第一轮报价金额。磋商小组认为低于成本报价的磋商报价将被拒绝。</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工程质量、计划工期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①施工部署:每完全满足一个评审标准得1 分,满分3 分； ②关键工序的施工方法及实施要点:每完全满足一个评审标准得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三、赋分标准(满分9分) ①管理机构人员配备及劳动力投入:每完全满足一个评审标准得1 分,满分3 分; ②机构设置:每完全满足一个评审标准得1 分，满分3分； ③职责分工:每完全满足一个评审标准得1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项目经理部组成及劳动力投入.docx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①安全生产制度:每完全满足一个评审标准得1 分,满分3分; ②安全防护措施:每完全满足一个评审标准得1 分，满分3分； ③安全教育培训制度:每完全满足一个评审标准得1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①质量目标:每完全满足一个评审标准得1 分，满分3分； ②工程质量管理体系:每完全满足一个评审标准得1 分，满分3 分； ③质量管理措施:每完全满足一个评审标准得1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①建立进度控制体系:每完全满足一个评审标准得1 分,满分3 分; ②资源保障方案:每完全满足一个评审标准得1 分，满分3分； ③协调沟通措施:每完全满足一个评审标准得1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①施工机械配备:每完全满足一个评审标准得1 分,满分3分； ②材料投入计划:每完全满足一个评审标准得1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施工机械设备和材料投入计划.docx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①服务过程相关承诺：每完全满足一个评审标准得1 分,满分3 分; ②建立应急响应机制:每完全满足一个评审标准得1 分,满分3 分; ③物资与设备的保障:每完全满足一个评审标准得1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详见附件：项目经理部组成及劳动力投入.docx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详见附件：确保文明施工的技术措施及环境保护措施.docx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详见附件：施工机械设备和材料投入计划.docx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