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DDD75">
      <w:pPr>
        <w:jc w:val="center"/>
        <w:rPr>
          <w:rFonts w:ascii="黑体" w:hAnsi="黑体" w:eastAsia="黑体"/>
          <w:b/>
          <w:sz w:val="52"/>
          <w:szCs w:val="52"/>
        </w:rPr>
      </w:pPr>
    </w:p>
    <w:p w14:paraId="5D35D521">
      <w:pPr>
        <w:pStyle w:val="3"/>
        <w:shd w:val="clear"/>
        <w:spacing w:before="93" w:after="93"/>
        <w:ind w:firstLine="1040"/>
        <w:jc w:val="both"/>
        <w:rPr>
          <w:rFonts w:hint="eastAsia" w:ascii="宋体" w:hAnsi="宋体" w:eastAsia="宋体" w:cs="宋体"/>
          <w:b/>
          <w:bCs/>
          <w:color w:val="auto"/>
          <w:sz w:val="60"/>
          <w:szCs w:val="60"/>
          <w:highlight w:val="none"/>
          <w:lang w:eastAsia="zh-CN"/>
        </w:rPr>
      </w:pPr>
      <w:r>
        <w:rPr>
          <w:rFonts w:hint="eastAsia" w:ascii="宋体" w:hAnsi="宋体" w:eastAsia="宋体" w:cs="宋体"/>
          <w:b/>
          <w:bCs/>
          <w:color w:val="auto"/>
          <w:sz w:val="60"/>
          <w:szCs w:val="60"/>
          <w:highlight w:val="none"/>
          <w:lang w:eastAsia="zh-CN"/>
        </w:rPr>
        <w:t>临潼区博物馆安保服务</w:t>
      </w:r>
    </w:p>
    <w:p w14:paraId="05FFC10C">
      <w:pPr>
        <w:pStyle w:val="3"/>
        <w:shd w:val="clear"/>
        <w:spacing w:before="93" w:after="93"/>
        <w:ind w:firstLine="1040"/>
        <w:jc w:val="both"/>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合同模板仅供参考，具体以实际签订合同为准</w:t>
      </w:r>
      <w:r>
        <w:rPr>
          <w:rFonts w:hint="eastAsia" w:ascii="宋体" w:hAnsi="宋体" w:eastAsia="宋体" w:cs="宋体"/>
          <w:b w:val="0"/>
          <w:bCs w:val="0"/>
          <w:color w:val="auto"/>
          <w:sz w:val="28"/>
          <w:szCs w:val="28"/>
          <w:highlight w:val="none"/>
          <w:lang w:eastAsia="zh-CN"/>
        </w:rPr>
        <w:t>）</w:t>
      </w:r>
    </w:p>
    <w:p w14:paraId="6D37C4DF">
      <w:pPr>
        <w:jc w:val="center"/>
        <w:rPr>
          <w:rFonts w:ascii="黑体" w:hAnsi="黑体" w:eastAsia="黑体" w:cs="黑体"/>
          <w:b/>
          <w:sz w:val="52"/>
          <w:szCs w:val="52"/>
        </w:rPr>
      </w:pPr>
    </w:p>
    <w:p w14:paraId="0E9B1732">
      <w:pPr>
        <w:ind w:firstLine="720" w:firstLineChars="100"/>
        <w:jc w:val="center"/>
        <w:rPr>
          <w:rFonts w:asciiTheme="minorEastAsia" w:hAnsiTheme="minorEastAsia" w:cstheme="minorEastAsia"/>
          <w:sz w:val="72"/>
          <w:szCs w:val="72"/>
        </w:rPr>
      </w:pPr>
      <w:r>
        <w:rPr>
          <w:rFonts w:hint="eastAsia" w:ascii="黑体" w:hAnsi="黑体" w:eastAsia="黑体"/>
          <w:sz w:val="72"/>
          <w:szCs w:val="72"/>
        </w:rPr>
        <w:t>合</w:t>
      </w:r>
    </w:p>
    <w:p w14:paraId="10A10478">
      <w:pPr>
        <w:jc w:val="both"/>
        <w:rPr>
          <w:rFonts w:ascii="黑体" w:hAnsi="黑体" w:eastAsia="黑体"/>
          <w:sz w:val="72"/>
          <w:szCs w:val="72"/>
        </w:rPr>
      </w:pPr>
    </w:p>
    <w:p w14:paraId="0A36D390">
      <w:pPr>
        <w:ind w:firstLine="720" w:firstLineChars="100"/>
        <w:jc w:val="center"/>
        <w:rPr>
          <w:rFonts w:ascii="黑体" w:hAnsi="黑体" w:eastAsia="黑体"/>
          <w:sz w:val="72"/>
          <w:szCs w:val="72"/>
        </w:rPr>
      </w:pPr>
      <w:r>
        <w:rPr>
          <w:rFonts w:hint="eastAsia" w:ascii="黑体" w:hAnsi="黑体" w:eastAsia="黑体"/>
          <w:sz w:val="72"/>
          <w:szCs w:val="72"/>
        </w:rPr>
        <w:t>同</w:t>
      </w:r>
    </w:p>
    <w:p w14:paraId="4F1555C3">
      <w:pPr>
        <w:ind w:firstLine="720" w:firstLineChars="100"/>
        <w:jc w:val="center"/>
        <w:rPr>
          <w:rFonts w:ascii="黑体" w:hAnsi="黑体" w:eastAsia="黑体"/>
          <w:sz w:val="72"/>
          <w:szCs w:val="72"/>
        </w:rPr>
      </w:pPr>
    </w:p>
    <w:p w14:paraId="79843156">
      <w:pPr>
        <w:ind w:firstLine="720" w:firstLineChars="100"/>
        <w:jc w:val="center"/>
        <w:rPr>
          <w:rFonts w:ascii="黑体" w:hAnsi="黑体" w:eastAsia="黑体"/>
          <w:sz w:val="72"/>
          <w:szCs w:val="72"/>
        </w:rPr>
      </w:pPr>
      <w:r>
        <w:rPr>
          <w:rFonts w:hint="eastAsia" w:ascii="黑体" w:hAnsi="黑体" w:eastAsia="黑体"/>
          <w:sz w:val="72"/>
          <w:szCs w:val="72"/>
        </w:rPr>
        <w:t>书</w:t>
      </w:r>
    </w:p>
    <w:p w14:paraId="61103D1B">
      <w:pPr>
        <w:rPr>
          <w:rFonts w:ascii="黑体" w:hAnsi="黑体" w:eastAsia="黑体"/>
          <w:sz w:val="28"/>
          <w:szCs w:val="28"/>
        </w:rPr>
      </w:pPr>
    </w:p>
    <w:p w14:paraId="1DA3B07F">
      <w:pPr>
        <w:rPr>
          <w:rFonts w:ascii="黑体" w:hAnsi="黑体" w:eastAsia="黑体"/>
          <w:sz w:val="28"/>
          <w:szCs w:val="28"/>
        </w:rPr>
      </w:pPr>
    </w:p>
    <w:p w14:paraId="0179C2B6">
      <w:pPr>
        <w:rPr>
          <w:rFonts w:ascii="黑体" w:hAnsi="黑体" w:eastAsia="黑体"/>
          <w:sz w:val="28"/>
          <w:szCs w:val="28"/>
        </w:rPr>
      </w:pPr>
    </w:p>
    <w:p w14:paraId="0DA35A32">
      <w:pPr>
        <w:pStyle w:val="2"/>
      </w:pPr>
    </w:p>
    <w:p w14:paraId="3465FDFD">
      <w:pPr>
        <w:shd w:val="clear" w:color="auto"/>
        <w:snapToGrid w:val="0"/>
        <w:spacing w:line="480" w:lineRule="auto"/>
        <w:ind w:firstLine="2160" w:firstLineChars="9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rPr>
        <w:t>甲方：</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 xml:space="preserve"> </w:t>
      </w:r>
    </w:p>
    <w:p w14:paraId="1C629AE2">
      <w:pPr>
        <w:shd w:val="clear" w:color="auto"/>
        <w:snapToGrid w:val="0"/>
        <w:spacing w:line="480" w:lineRule="auto"/>
        <w:ind w:firstLine="2160" w:firstLineChars="900"/>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rPr>
        <w:t>乙方：</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none"/>
          <w:lang w:val="en-US" w:eastAsia="zh-CN"/>
        </w:rPr>
        <w:t xml:space="preserve"> </w:t>
      </w:r>
    </w:p>
    <w:p w14:paraId="62ED55BE">
      <w:pPr>
        <w:shd w:val="clear" w:color="auto"/>
        <w:snapToGrid w:val="0"/>
        <w:spacing w:line="480" w:lineRule="auto"/>
        <w:ind w:firstLine="2160" w:firstLineChars="9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签订日期：</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年</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月</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日</w:t>
      </w:r>
    </w:p>
    <w:p w14:paraId="4541C91B">
      <w:pPr>
        <w:pStyle w:val="2"/>
      </w:pPr>
    </w:p>
    <w:p w14:paraId="232079A9">
      <w:pPr>
        <w:rPr>
          <w:rFonts w:ascii="黑体" w:hAnsi="黑体" w:eastAsia="黑体"/>
          <w:sz w:val="28"/>
          <w:szCs w:val="28"/>
        </w:rPr>
      </w:pPr>
    </w:p>
    <w:p w14:paraId="24AC07AE">
      <w:pPr>
        <w:rPr>
          <w:rFonts w:hint="eastAsia" w:ascii="宋体" w:hAnsi="宋体" w:eastAsia="宋体" w:cs="宋体"/>
          <w:sz w:val="28"/>
          <w:szCs w:val="28"/>
          <w:highlight w:val="none"/>
        </w:rPr>
      </w:pPr>
      <w:bookmarkStart w:id="0" w:name="_Toc31623"/>
      <w:r>
        <w:rPr>
          <w:rFonts w:hint="eastAsia" w:ascii="宋体" w:hAnsi="宋体" w:eastAsia="宋体" w:cs="宋体"/>
          <w:sz w:val="28"/>
          <w:szCs w:val="28"/>
          <w:highlight w:val="none"/>
        </w:rPr>
        <w:t>合同编号：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26D0CC8C">
      <w:pPr>
        <w:rPr>
          <w:rFonts w:hint="eastAsia" w:ascii="宋体" w:hAnsi="宋体" w:eastAsia="宋体" w:cs="宋体"/>
          <w:sz w:val="28"/>
          <w:szCs w:val="28"/>
          <w:highlight w:val="none"/>
        </w:rPr>
      </w:pPr>
      <w:r>
        <w:rPr>
          <w:rFonts w:hint="eastAsia" w:ascii="宋体" w:hAnsi="宋体" w:eastAsia="宋体" w:cs="宋体"/>
          <w:sz w:val="28"/>
          <w:szCs w:val="28"/>
          <w:highlight w:val="none"/>
        </w:rPr>
        <w:t>签订地点：</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EA79DF4">
      <w:pPr>
        <w:rPr>
          <w:rFonts w:hint="eastAsia" w:ascii="宋体" w:hAnsi="宋体" w:eastAsia="宋体" w:cs="宋体"/>
          <w:sz w:val="28"/>
          <w:szCs w:val="28"/>
          <w:highlight w:val="none"/>
        </w:rPr>
      </w:pPr>
      <w:r>
        <w:rPr>
          <w:rFonts w:hint="eastAsia" w:ascii="宋体" w:hAnsi="宋体" w:eastAsia="宋体" w:cs="宋体"/>
          <w:sz w:val="28"/>
          <w:szCs w:val="28"/>
          <w:highlight w:val="none"/>
        </w:rPr>
        <w:t>签订时间：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日。</w:t>
      </w:r>
    </w:p>
    <w:p w14:paraId="334214AE">
      <w:pPr>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采购人（甲方）：</w:t>
      </w:r>
      <w:r>
        <w:rPr>
          <w:rFonts w:hint="eastAsia" w:ascii="宋体" w:hAnsi="宋体" w:eastAsia="宋体" w:cs="宋体"/>
          <w:sz w:val="28"/>
          <w:szCs w:val="28"/>
          <w:highlight w:val="none"/>
          <w:u w:val="single"/>
          <w:lang w:val="en-US" w:eastAsia="zh-CN"/>
        </w:rPr>
        <w:t xml:space="preserve">                         </w:t>
      </w:r>
    </w:p>
    <w:p w14:paraId="080C80BC">
      <w:pPr>
        <w:rPr>
          <w:rFonts w:hint="eastAsia" w:ascii="宋体" w:hAnsi="宋体" w:eastAsia="宋体" w:cs="宋体"/>
          <w:sz w:val="28"/>
          <w:szCs w:val="28"/>
          <w:highlight w:val="none"/>
        </w:rPr>
      </w:pPr>
      <w:r>
        <w:rPr>
          <w:rFonts w:hint="eastAsia" w:ascii="宋体" w:hAnsi="宋体" w:eastAsia="宋体" w:cs="宋体"/>
          <w:sz w:val="28"/>
          <w:szCs w:val="28"/>
          <w:highlight w:val="none"/>
        </w:rPr>
        <w:t>供应商（乙方）：</w:t>
      </w:r>
      <w:r>
        <w:rPr>
          <w:rFonts w:hint="eastAsia" w:ascii="宋体" w:hAnsi="宋体" w:eastAsia="宋体" w:cs="宋体"/>
          <w:sz w:val="28"/>
          <w:szCs w:val="28"/>
          <w:highlight w:val="none"/>
          <w:u w:val="single"/>
          <w:lang w:val="en-US" w:eastAsia="zh-CN"/>
        </w:rPr>
        <w:t xml:space="preserve">                         </w:t>
      </w:r>
    </w:p>
    <w:p w14:paraId="0C8F3E7C">
      <w:pPr>
        <w:ind w:firstLine="1120" w:firstLineChars="400"/>
        <w:rPr>
          <w:rFonts w:hint="eastAsia" w:ascii="宋体" w:hAnsi="宋体" w:eastAsia="宋体" w:cs="宋体"/>
          <w:sz w:val="28"/>
          <w:szCs w:val="28"/>
          <w:highlight w:val="none"/>
        </w:rPr>
      </w:pPr>
      <w:r>
        <w:rPr>
          <w:rFonts w:hint="eastAsia" w:ascii="宋体" w:hAnsi="宋体" w:eastAsia="宋体" w:cs="宋体"/>
          <w:sz w:val="28"/>
          <w:szCs w:val="28"/>
          <w:highlight w:val="none"/>
        </w:rPr>
        <w:t>依据《中华人民共和国</w:t>
      </w:r>
      <w:r>
        <w:rPr>
          <w:rFonts w:hint="eastAsia" w:ascii="宋体" w:hAnsi="宋体" w:eastAsia="宋体" w:cs="宋体"/>
          <w:sz w:val="28"/>
          <w:szCs w:val="28"/>
          <w:highlight w:val="none"/>
          <w:lang w:eastAsia="zh-CN"/>
        </w:rPr>
        <w:t>民法典</w:t>
      </w:r>
      <w:r>
        <w:rPr>
          <w:rFonts w:hint="eastAsia" w:ascii="宋体" w:hAnsi="宋体" w:eastAsia="宋体" w:cs="宋体"/>
          <w:sz w:val="28"/>
          <w:szCs w:val="28"/>
          <w:highlight w:val="none"/>
        </w:rPr>
        <w:t>》与项目行业有关的法律法规，以及</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项目（项目编号：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）的《</w:t>
      </w:r>
      <w:r>
        <w:rPr>
          <w:rFonts w:hint="eastAsia" w:ascii="宋体" w:hAnsi="宋体" w:eastAsia="宋体" w:cs="宋体"/>
          <w:sz w:val="28"/>
          <w:szCs w:val="28"/>
          <w:highlight w:val="none"/>
          <w:lang w:eastAsia="zh-CN"/>
        </w:rPr>
        <w:t>磋商</w:t>
      </w:r>
      <w:r>
        <w:rPr>
          <w:rFonts w:hint="eastAsia" w:ascii="宋体" w:hAnsi="宋体" w:eastAsia="宋体" w:cs="宋体"/>
          <w:sz w:val="28"/>
          <w:szCs w:val="28"/>
          <w:highlight w:val="none"/>
        </w:rPr>
        <w:t>文件》，乙方的《</w:t>
      </w:r>
      <w:r>
        <w:rPr>
          <w:rFonts w:hint="eastAsia" w:ascii="宋体" w:hAnsi="宋体" w:eastAsia="宋体" w:cs="宋体"/>
          <w:sz w:val="28"/>
          <w:szCs w:val="28"/>
          <w:highlight w:val="none"/>
          <w:lang w:eastAsia="zh-CN"/>
        </w:rPr>
        <w:t>响应</w:t>
      </w:r>
      <w:r>
        <w:rPr>
          <w:rFonts w:hint="eastAsia" w:ascii="宋体" w:hAnsi="宋体" w:eastAsia="宋体" w:cs="宋体"/>
          <w:sz w:val="28"/>
          <w:szCs w:val="28"/>
          <w:highlight w:val="none"/>
        </w:rPr>
        <w:t>文件》及《</w:t>
      </w:r>
      <w:r>
        <w:rPr>
          <w:rFonts w:hint="eastAsia" w:ascii="宋体" w:hAnsi="宋体" w:eastAsia="宋体" w:cs="宋体"/>
          <w:sz w:val="28"/>
          <w:szCs w:val="28"/>
          <w:highlight w:val="none"/>
          <w:lang w:eastAsia="zh-CN"/>
        </w:rPr>
        <w:t>成交</w:t>
      </w:r>
      <w:r>
        <w:rPr>
          <w:rFonts w:hint="eastAsia" w:ascii="宋体" w:hAnsi="宋体" w:eastAsia="宋体" w:cs="宋体"/>
          <w:sz w:val="28"/>
          <w:szCs w:val="28"/>
          <w:highlight w:val="none"/>
        </w:rPr>
        <w:t>通知书》，甲、乙双方同意签订本合同。详细技术说明及其他有关合同项目的特定信息由合同附件予以说明，合同附件及本项目的《</w:t>
      </w:r>
      <w:r>
        <w:rPr>
          <w:rFonts w:hint="eastAsia" w:ascii="宋体" w:hAnsi="宋体" w:eastAsia="宋体" w:cs="宋体"/>
          <w:sz w:val="28"/>
          <w:szCs w:val="28"/>
          <w:highlight w:val="none"/>
          <w:lang w:eastAsia="zh-CN"/>
        </w:rPr>
        <w:t>磋商</w:t>
      </w:r>
      <w:r>
        <w:rPr>
          <w:rFonts w:hint="eastAsia" w:ascii="宋体" w:hAnsi="宋体" w:eastAsia="宋体" w:cs="宋体"/>
          <w:sz w:val="28"/>
          <w:szCs w:val="28"/>
          <w:highlight w:val="none"/>
        </w:rPr>
        <w:t>文件》、《</w:t>
      </w:r>
      <w:r>
        <w:rPr>
          <w:rFonts w:hint="eastAsia" w:ascii="宋体" w:hAnsi="宋体" w:eastAsia="宋体" w:cs="宋体"/>
          <w:sz w:val="28"/>
          <w:szCs w:val="28"/>
          <w:highlight w:val="none"/>
          <w:lang w:eastAsia="zh-CN"/>
        </w:rPr>
        <w:t>响应</w:t>
      </w:r>
      <w:r>
        <w:rPr>
          <w:rFonts w:hint="eastAsia" w:ascii="宋体" w:hAnsi="宋体" w:eastAsia="宋体" w:cs="宋体"/>
          <w:sz w:val="28"/>
          <w:szCs w:val="28"/>
          <w:highlight w:val="none"/>
        </w:rPr>
        <w:t>文件》、《</w:t>
      </w:r>
      <w:r>
        <w:rPr>
          <w:rFonts w:hint="eastAsia" w:ascii="宋体" w:hAnsi="宋体" w:eastAsia="宋体" w:cs="宋体"/>
          <w:sz w:val="28"/>
          <w:szCs w:val="28"/>
          <w:highlight w:val="none"/>
          <w:lang w:eastAsia="zh-CN"/>
        </w:rPr>
        <w:t>成交</w:t>
      </w:r>
      <w:r>
        <w:rPr>
          <w:rFonts w:hint="eastAsia" w:ascii="宋体" w:hAnsi="宋体" w:eastAsia="宋体" w:cs="宋体"/>
          <w:sz w:val="28"/>
          <w:szCs w:val="28"/>
          <w:highlight w:val="none"/>
        </w:rPr>
        <w:t>通知书》等均为本合同的组成部分。</w:t>
      </w:r>
    </w:p>
    <w:p w14:paraId="55492C84">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项目基本情况</w:t>
      </w:r>
    </w:p>
    <w:p w14:paraId="77EE7FF7">
      <w:pPr>
        <w:rPr>
          <w:rFonts w:hint="default" w:ascii="宋体" w:hAnsi="宋体" w:eastAsia="宋体" w:cs="宋体"/>
          <w:b/>
          <w:sz w:val="28"/>
          <w:szCs w:val="28"/>
          <w:highlight w:val="none"/>
          <w:u w:val="single"/>
          <w:lang w:val="en-US" w:eastAsia="zh-CN"/>
        </w:rPr>
      </w:pPr>
      <w:r>
        <w:rPr>
          <w:rFonts w:hint="eastAsia" w:ascii="宋体" w:hAnsi="宋体" w:eastAsia="宋体" w:cs="宋体"/>
          <w:b/>
          <w:sz w:val="28"/>
          <w:szCs w:val="28"/>
          <w:highlight w:val="none"/>
          <w:u w:val="single"/>
          <w:lang w:val="en-US" w:eastAsia="zh-CN"/>
        </w:rPr>
        <w:t xml:space="preserve">                                          </w:t>
      </w:r>
    </w:p>
    <w:p w14:paraId="0BEA0750">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合同期限</w:t>
      </w:r>
    </w:p>
    <w:p w14:paraId="12457AAC">
      <w:pPr>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u w:val="single"/>
          <w:lang w:val="en-US" w:eastAsia="zh-CN"/>
        </w:rPr>
        <w:t xml:space="preserve">                                          </w:t>
      </w:r>
    </w:p>
    <w:p w14:paraId="585A92D8">
      <w:pPr>
        <w:numPr>
          <w:ilvl w:val="0"/>
          <w:numId w:val="1"/>
        </w:numPr>
        <w:rPr>
          <w:rFonts w:hint="eastAsia" w:ascii="宋体" w:hAnsi="宋体" w:eastAsia="宋体" w:cs="宋体"/>
          <w:b/>
          <w:sz w:val="28"/>
          <w:szCs w:val="28"/>
          <w:highlight w:val="none"/>
        </w:rPr>
      </w:pPr>
      <w:bookmarkStart w:id="1" w:name="_Toc283019214"/>
      <w:bookmarkStart w:id="2" w:name="_Toc185395249"/>
      <w:bookmarkStart w:id="3" w:name="_Toc238984975"/>
      <w:bookmarkStart w:id="4" w:name="_Toc225244852"/>
      <w:bookmarkStart w:id="5" w:name="_Toc247334841"/>
      <w:bookmarkStart w:id="6" w:name="_Toc211911348"/>
      <w:bookmarkStart w:id="7" w:name="_Toc251768862"/>
      <w:bookmarkStart w:id="8" w:name="_Toc232492928"/>
      <w:bookmarkStart w:id="9" w:name="_Toc239233914"/>
      <w:bookmarkStart w:id="10" w:name="_Toc237145406"/>
      <w:bookmarkStart w:id="11" w:name="_Toc241833903"/>
      <w:bookmarkStart w:id="12" w:name="_Toc239568418"/>
      <w:bookmarkStart w:id="13" w:name="_Toc225670751"/>
      <w:bookmarkStart w:id="14" w:name="_Toc211854449"/>
      <w:bookmarkStart w:id="15" w:name="_Toc286993786"/>
      <w:bookmarkStart w:id="16" w:name="_Toc225654644"/>
      <w:bookmarkStart w:id="17" w:name="_Toc282696226"/>
      <w:bookmarkStart w:id="18" w:name="_Toc212019594"/>
      <w:r>
        <w:rPr>
          <w:rFonts w:hint="eastAsia" w:ascii="宋体" w:hAnsi="宋体" w:eastAsia="宋体" w:cs="宋体"/>
          <w:b/>
          <w:sz w:val="28"/>
          <w:szCs w:val="28"/>
          <w:highlight w:val="none"/>
        </w:rPr>
        <w:t>服务内容与质量标准</w:t>
      </w:r>
    </w:p>
    <w:p w14:paraId="5EA389CF">
      <w:pPr>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 xml:space="preserve">                                          </w:t>
      </w:r>
    </w:p>
    <w:p w14:paraId="327741F7">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服务费用及支付方式</w:t>
      </w:r>
    </w:p>
    <w:p w14:paraId="6A528C28">
      <w:pPr>
        <w:numPr>
          <w:ilvl w:val="0"/>
          <w:numId w:val="2"/>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本项目服务费用由以下组成：</w:t>
      </w:r>
    </w:p>
    <w:p w14:paraId="2E03C5C8">
      <w:pPr>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 xml:space="preserve">                                          </w:t>
      </w:r>
    </w:p>
    <w:p w14:paraId="67680A76">
      <w:pPr>
        <w:numPr>
          <w:ilvl w:val="0"/>
          <w:numId w:val="2"/>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服务费支付方式： </w:t>
      </w:r>
    </w:p>
    <w:p w14:paraId="29993D95">
      <w:pPr>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 xml:space="preserve">                                          </w:t>
      </w:r>
    </w:p>
    <w:p w14:paraId="53814A44">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知识产权</w:t>
      </w:r>
    </w:p>
    <w:p w14:paraId="771ABEA0">
      <w:pPr>
        <w:rPr>
          <w:rFonts w:hint="eastAsia" w:ascii="宋体" w:hAnsi="宋体" w:eastAsia="宋体" w:cs="宋体"/>
          <w:sz w:val="28"/>
          <w:szCs w:val="28"/>
          <w:highlight w:val="none"/>
        </w:rPr>
      </w:pPr>
      <w:r>
        <w:rPr>
          <w:rFonts w:hint="eastAsia" w:ascii="宋体" w:hAnsi="宋体" w:eastAsia="宋体" w:cs="宋体"/>
          <w:sz w:val="28"/>
          <w:szCs w:val="28"/>
          <w:highlight w:val="none"/>
        </w:rPr>
        <w:t>乙方应保证所提供的服务或其任何一部分均不会侵犯任何第三方的专利权、商标权或著作权。</w:t>
      </w:r>
    </w:p>
    <w:p w14:paraId="02EAD676">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无产权瑕疵条款</w:t>
      </w:r>
    </w:p>
    <w:p w14:paraId="1EF26E6E">
      <w:pPr>
        <w:rPr>
          <w:rFonts w:hint="eastAsia" w:ascii="宋体" w:hAnsi="宋体" w:eastAsia="宋体" w:cs="宋体"/>
          <w:sz w:val="28"/>
          <w:szCs w:val="28"/>
          <w:highlight w:val="none"/>
        </w:rPr>
      </w:pPr>
      <w:r>
        <w:rPr>
          <w:rFonts w:hint="eastAsia" w:ascii="宋体" w:hAnsi="宋体" w:eastAsia="宋体" w:cs="宋体"/>
          <w:sz w:val="28"/>
          <w:szCs w:val="28"/>
          <w:highlight w:val="none"/>
        </w:rPr>
        <w:t>乙方保证所提供的服务的所有权完全属于乙方且无任何抵押、查封等产权瑕疵</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如有产权瑕疵的，视为乙方违约。乙方应负担由此而产生的一切损失。</w:t>
      </w:r>
    </w:p>
    <w:p w14:paraId="07AEB5F1">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履约保证金</w:t>
      </w:r>
    </w:p>
    <w:p w14:paraId="0EBF7039">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1、乙方交纳人民币</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bCs/>
          <w:sz w:val="28"/>
          <w:szCs w:val="28"/>
          <w:highlight w:val="none"/>
        </w:rPr>
        <w:t>元作为本合同的履约保证金。</w:t>
      </w:r>
    </w:p>
    <w:p w14:paraId="4AB0236E">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2、履约保证金作为违约金的一部分及用于补偿甲方因乙方不能履行合同义务而蒙受的损失。</w:t>
      </w:r>
    </w:p>
    <w:p w14:paraId="4065F1E7">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甲方的权利和义务</w:t>
      </w:r>
    </w:p>
    <w:p w14:paraId="43563014">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533A12A">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2、甲方有权依据双方签订的考评办法对乙方提供的服务进行定期考评。当考评结果未达到标准时，有权依据考评办法约定的数额扣除履约保证金。</w:t>
      </w:r>
    </w:p>
    <w:p w14:paraId="34CF3151">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3、负责检查监督乙方管理工作的实施及制度的执行情况。</w:t>
      </w:r>
    </w:p>
    <w:p w14:paraId="63B581CB">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4、根据本合同规定，按时向乙方支付应付服务费用。</w:t>
      </w:r>
    </w:p>
    <w:p w14:paraId="79C36B02">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5、国家法律、法规所规定由甲方承担的其它责任。</w:t>
      </w:r>
    </w:p>
    <w:p w14:paraId="2BA91DD2">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乙方的权利和义务</w:t>
      </w:r>
      <w:r>
        <w:rPr>
          <w:rFonts w:hint="eastAsia" w:ascii="宋体" w:hAnsi="宋体" w:eastAsia="宋体" w:cs="宋体"/>
          <w:b/>
          <w:sz w:val="28"/>
          <w:szCs w:val="28"/>
          <w:highlight w:val="none"/>
          <w:lang w:eastAsia="zh-CN"/>
        </w:rPr>
        <w:t xml:space="preserve"> </w:t>
      </w:r>
    </w:p>
    <w:p w14:paraId="6C3576D4">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1、对本合同规定的委托服务范围内的项目享有管理权及服务义务。</w:t>
      </w:r>
    </w:p>
    <w:p w14:paraId="22379172">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2、根据本合同的规定向甲方收取相关服务费用，并有权在本项目管理范围内管理及合理使用。</w:t>
      </w:r>
    </w:p>
    <w:p w14:paraId="7B9CD252">
      <w:pPr>
        <w:rPr>
          <w:rFonts w:hint="eastAsia" w:ascii="宋体" w:hAnsi="宋体" w:eastAsia="宋体" w:cs="宋体"/>
          <w:sz w:val="28"/>
          <w:szCs w:val="28"/>
          <w:highlight w:val="none"/>
        </w:rPr>
      </w:pPr>
      <w:r>
        <w:rPr>
          <w:rFonts w:hint="eastAsia" w:ascii="宋体" w:hAnsi="宋体" w:eastAsia="宋体" w:cs="宋体"/>
          <w:sz w:val="28"/>
          <w:szCs w:val="28"/>
          <w:highlight w:val="none"/>
        </w:rPr>
        <w:t>3、及时向甲方通告本项目服务范围内有关服务的重大事项，及时配合处理投诉。</w:t>
      </w:r>
    </w:p>
    <w:p w14:paraId="288ACA77">
      <w:pPr>
        <w:rPr>
          <w:rFonts w:hint="eastAsia" w:ascii="宋体" w:hAnsi="宋体" w:eastAsia="宋体" w:cs="宋体"/>
          <w:bCs/>
          <w:sz w:val="28"/>
          <w:szCs w:val="28"/>
          <w:highlight w:val="none"/>
        </w:rPr>
      </w:pPr>
      <w:r>
        <w:rPr>
          <w:rFonts w:hint="eastAsia" w:ascii="宋体" w:hAnsi="宋体" w:eastAsia="宋体" w:cs="宋体"/>
          <w:sz w:val="28"/>
          <w:szCs w:val="28"/>
          <w:highlight w:val="none"/>
        </w:rPr>
        <w:t>4、</w:t>
      </w:r>
      <w:r>
        <w:rPr>
          <w:rFonts w:hint="eastAsia" w:ascii="宋体" w:hAnsi="宋体" w:eastAsia="宋体" w:cs="宋体"/>
          <w:bCs/>
          <w:sz w:val="28"/>
          <w:szCs w:val="28"/>
          <w:highlight w:val="none"/>
        </w:rPr>
        <w:t>接受项目行业管理部门及政府有关部门的指导，接受甲方的监督。</w:t>
      </w:r>
    </w:p>
    <w:p w14:paraId="325FCDCD">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5、国家法律、法规所规定由乙方承担的其它责任。</w:t>
      </w:r>
    </w:p>
    <w:p w14:paraId="07CCEE2E">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违约责任</w:t>
      </w:r>
    </w:p>
    <w:p w14:paraId="7DACD3C9">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1、甲乙双方必须遵守本合同并执行合同中的各项规定，保证本合同的正常履行。</w:t>
      </w:r>
    </w:p>
    <w:p w14:paraId="726726D1">
      <w:pPr>
        <w:rPr>
          <w:rFonts w:hint="eastAsia" w:ascii="宋体" w:hAnsi="宋体" w:eastAsia="宋体" w:cs="宋体"/>
          <w:bCs/>
          <w:sz w:val="28"/>
          <w:szCs w:val="28"/>
          <w:highlight w:val="none"/>
        </w:rPr>
      </w:pPr>
      <w:r>
        <w:rPr>
          <w:rFonts w:hint="eastAsia" w:ascii="宋体" w:hAnsi="宋体" w:eastAsia="宋体" w:cs="宋体"/>
          <w:bCs/>
          <w:sz w:val="28"/>
          <w:szCs w:val="28"/>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DE47820">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不可抗力事件处理</w:t>
      </w:r>
    </w:p>
    <w:p w14:paraId="170E06B4">
      <w:pPr>
        <w:rPr>
          <w:rFonts w:hint="eastAsia" w:ascii="宋体" w:hAnsi="宋体" w:eastAsia="宋体" w:cs="宋体"/>
          <w:sz w:val="28"/>
          <w:szCs w:val="28"/>
          <w:highlight w:val="none"/>
        </w:rPr>
      </w:pPr>
      <w:r>
        <w:rPr>
          <w:rFonts w:hint="eastAsia" w:ascii="宋体" w:hAnsi="宋体" w:eastAsia="宋体" w:cs="宋体"/>
          <w:sz w:val="28"/>
          <w:szCs w:val="28"/>
          <w:highlight w:val="none"/>
        </w:rPr>
        <w:t>1、在合同有效期内，任何一方因不可抗力事件导致不能履行合同，则合同履行期可延长，其延长期与不可抗力影响期相同。</w:t>
      </w:r>
    </w:p>
    <w:p w14:paraId="1ACB933E">
      <w:pPr>
        <w:rPr>
          <w:rFonts w:hint="eastAsia" w:ascii="宋体" w:hAnsi="宋体" w:eastAsia="宋体" w:cs="宋体"/>
          <w:sz w:val="28"/>
          <w:szCs w:val="28"/>
          <w:highlight w:val="none"/>
        </w:rPr>
      </w:pPr>
      <w:r>
        <w:rPr>
          <w:rFonts w:hint="eastAsia" w:ascii="宋体" w:hAnsi="宋体" w:eastAsia="宋体" w:cs="宋体"/>
          <w:sz w:val="28"/>
          <w:szCs w:val="28"/>
          <w:highlight w:val="none"/>
        </w:rPr>
        <w:t>2、不可抗力事件发生后，应立即通知对方，并寄送有关权威机构出具的证明。</w:t>
      </w:r>
    </w:p>
    <w:p w14:paraId="76D64F4D">
      <w:pPr>
        <w:rPr>
          <w:rFonts w:hint="eastAsia" w:ascii="宋体" w:hAnsi="宋体" w:eastAsia="宋体" w:cs="宋体"/>
          <w:sz w:val="28"/>
          <w:szCs w:val="28"/>
          <w:highlight w:val="none"/>
        </w:rPr>
      </w:pPr>
      <w:r>
        <w:rPr>
          <w:rFonts w:hint="eastAsia" w:ascii="宋体" w:hAnsi="宋体" w:eastAsia="宋体" w:cs="宋体"/>
          <w:sz w:val="28"/>
          <w:szCs w:val="28"/>
          <w:highlight w:val="none"/>
        </w:rPr>
        <w:t>3、不可抗力事件延续</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900FE0">
      <w:pPr>
        <w:numPr>
          <w:ilvl w:val="0"/>
          <w:numId w:val="1"/>
        </w:numPr>
        <w:rPr>
          <w:rFonts w:hint="eastAsia" w:ascii="宋体" w:hAnsi="宋体" w:eastAsia="宋体" w:cs="宋体"/>
          <w:b/>
          <w:sz w:val="28"/>
          <w:szCs w:val="28"/>
          <w:highlight w:val="none"/>
        </w:rPr>
      </w:pPr>
      <w:bookmarkStart w:id="19" w:name="_Toc247334846"/>
      <w:bookmarkStart w:id="20" w:name="_Toc239233919"/>
      <w:bookmarkStart w:id="21" w:name="_Toc237145411"/>
      <w:bookmarkStart w:id="22" w:name="_Toc251768867"/>
      <w:bookmarkStart w:id="23" w:name="_Toc225244857"/>
      <w:bookmarkStart w:id="24" w:name="_Toc211911353"/>
      <w:bookmarkStart w:id="25" w:name="_Toc211854454"/>
      <w:bookmarkStart w:id="26" w:name="_Toc232492933"/>
      <w:bookmarkStart w:id="27" w:name="_Toc212019599"/>
      <w:bookmarkStart w:id="28" w:name="_Toc238984980"/>
      <w:bookmarkStart w:id="29" w:name="_Toc185395254"/>
      <w:bookmarkStart w:id="30" w:name="_Toc225670756"/>
      <w:bookmarkStart w:id="31" w:name="_Toc225654649"/>
      <w:bookmarkStart w:id="32" w:name="_Toc286993792"/>
      <w:bookmarkStart w:id="33" w:name="_Toc241833908"/>
      <w:bookmarkStart w:id="34" w:name="_Toc239568423"/>
      <w:r>
        <w:rPr>
          <w:rFonts w:hint="eastAsia" w:ascii="宋体" w:hAnsi="宋体" w:eastAsia="宋体" w:cs="宋体"/>
          <w:b/>
          <w:sz w:val="28"/>
          <w:szCs w:val="28"/>
          <w:highlight w:val="none"/>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A771232">
      <w:pPr>
        <w:rPr>
          <w:rFonts w:hint="eastAsia" w:ascii="宋体" w:hAnsi="宋体" w:eastAsia="宋体" w:cs="宋体"/>
          <w:sz w:val="28"/>
          <w:szCs w:val="28"/>
          <w:highlight w:val="none"/>
        </w:rPr>
      </w:pPr>
      <w:r>
        <w:rPr>
          <w:rFonts w:hint="eastAsia" w:ascii="宋体" w:hAnsi="宋体" w:eastAsia="宋体" w:cs="宋体"/>
          <w:sz w:val="28"/>
          <w:szCs w:val="28"/>
          <w:highlight w:val="none"/>
        </w:rPr>
        <w:t>1、在执行本合同中发生的或与本合同有关的争端，双方应通过友好协商解决，经协商在</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天内不能达成协议时，应提交仲裁委员会仲裁。</w:t>
      </w:r>
    </w:p>
    <w:p w14:paraId="4AC63E6C">
      <w:pPr>
        <w:rPr>
          <w:rFonts w:hint="eastAsia" w:ascii="宋体" w:hAnsi="宋体" w:eastAsia="宋体" w:cs="宋体"/>
          <w:sz w:val="28"/>
          <w:szCs w:val="28"/>
          <w:highlight w:val="none"/>
        </w:rPr>
      </w:pPr>
      <w:r>
        <w:rPr>
          <w:rFonts w:hint="eastAsia" w:ascii="宋体" w:hAnsi="宋体" w:eastAsia="宋体" w:cs="宋体"/>
          <w:sz w:val="28"/>
          <w:szCs w:val="28"/>
          <w:highlight w:val="none"/>
        </w:rPr>
        <w:t>2、仲裁裁决应为最终决定，并对双方具有约束力。</w:t>
      </w:r>
    </w:p>
    <w:p w14:paraId="64C9AC49">
      <w:pPr>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3、除另有裁决外，仲裁费应由败诉方负担。 </w:t>
      </w:r>
    </w:p>
    <w:p w14:paraId="37B15513">
      <w:pPr>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4、在仲裁期间，除正在进行仲裁部分外，合同其他部分继续执行。  </w:t>
      </w:r>
    </w:p>
    <w:p w14:paraId="79376CF2">
      <w:pPr>
        <w:numPr>
          <w:ilvl w:val="0"/>
          <w:numId w:val="1"/>
        </w:numPr>
        <w:rPr>
          <w:rFonts w:hint="eastAsia" w:ascii="宋体" w:hAnsi="宋体" w:eastAsia="宋体" w:cs="宋体"/>
          <w:b/>
          <w:sz w:val="28"/>
          <w:szCs w:val="28"/>
          <w:highlight w:val="none"/>
        </w:rPr>
      </w:pPr>
      <w:bookmarkStart w:id="35" w:name="_Toc238984981"/>
      <w:bookmarkStart w:id="36" w:name="_Toc241833909"/>
      <w:bookmarkStart w:id="37" w:name="_Toc239233920"/>
      <w:bookmarkStart w:id="38" w:name="_Toc237145412"/>
      <w:bookmarkStart w:id="39" w:name="_Toc232492934"/>
      <w:bookmarkStart w:id="40" w:name="_Toc225244858"/>
      <w:bookmarkStart w:id="41" w:name="_Toc225670757"/>
      <w:bookmarkStart w:id="42" w:name="_Toc211911354"/>
      <w:bookmarkStart w:id="43" w:name="_Toc251768868"/>
      <w:bookmarkStart w:id="44" w:name="_Toc211854455"/>
      <w:bookmarkStart w:id="45" w:name="_Toc225654650"/>
      <w:bookmarkStart w:id="46" w:name="_Toc212019600"/>
      <w:bookmarkStart w:id="47" w:name="_Toc247334847"/>
      <w:bookmarkStart w:id="48" w:name="_Toc286993793"/>
      <w:bookmarkStart w:id="49" w:name="_Toc239568424"/>
      <w:bookmarkStart w:id="50" w:name="_Toc283019219"/>
      <w:bookmarkStart w:id="51" w:name="_Toc282696231"/>
      <w:bookmarkStart w:id="52" w:name="_Toc185395255"/>
      <w:r>
        <w:rPr>
          <w:rFonts w:hint="eastAsia" w:ascii="宋体" w:hAnsi="宋体" w:eastAsia="宋体" w:cs="宋体"/>
          <w:b/>
          <w:sz w:val="28"/>
          <w:szCs w:val="28"/>
          <w:highlight w:val="none"/>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eastAsia="宋体" w:cs="宋体"/>
          <w:b/>
          <w:sz w:val="28"/>
          <w:szCs w:val="28"/>
          <w:highlight w:val="none"/>
        </w:rPr>
        <w:t>生效及其他</w:t>
      </w:r>
    </w:p>
    <w:p w14:paraId="0DAECE98">
      <w:pPr>
        <w:rPr>
          <w:rFonts w:hint="eastAsia" w:ascii="宋体" w:hAnsi="宋体" w:eastAsia="宋体" w:cs="宋体"/>
          <w:sz w:val="28"/>
          <w:szCs w:val="28"/>
          <w:highlight w:val="none"/>
        </w:rPr>
      </w:pPr>
      <w:r>
        <w:rPr>
          <w:rFonts w:hint="eastAsia" w:ascii="宋体" w:hAnsi="宋体" w:eastAsia="宋体" w:cs="宋体"/>
          <w:sz w:val="28"/>
          <w:szCs w:val="28"/>
          <w:highlight w:val="none"/>
        </w:rPr>
        <w:t>1、合同经双方法定代表人或授权委托代理人签字并加盖单位公章后生效。</w:t>
      </w:r>
    </w:p>
    <w:p w14:paraId="21045407">
      <w:pPr>
        <w:rPr>
          <w:rFonts w:hint="eastAsia" w:ascii="宋体" w:hAnsi="宋体" w:eastAsia="宋体" w:cs="宋体"/>
          <w:sz w:val="28"/>
          <w:szCs w:val="28"/>
          <w:highlight w:val="none"/>
        </w:rPr>
      </w:pPr>
      <w:r>
        <w:rPr>
          <w:rFonts w:hint="eastAsia" w:ascii="宋体" w:hAnsi="宋体" w:eastAsia="宋体" w:cs="宋体"/>
          <w:sz w:val="28"/>
          <w:szCs w:val="28"/>
          <w:highlight w:val="none"/>
        </w:rPr>
        <w:t>2、合同执行中涉及采购资金和采购内容修改或补充的，须经政府采购监管部门审批，并签书面补充协议报政府采购监督管理部门备案，方可作为主合同不可分割的一部分。</w:t>
      </w:r>
    </w:p>
    <w:p w14:paraId="6ADD54CC">
      <w:pPr>
        <w:rPr>
          <w:rFonts w:hint="eastAsia" w:ascii="宋体" w:hAnsi="宋体" w:eastAsia="宋体" w:cs="宋体"/>
          <w:sz w:val="28"/>
          <w:szCs w:val="28"/>
          <w:highlight w:val="none"/>
        </w:rPr>
      </w:pPr>
      <w:r>
        <w:rPr>
          <w:rFonts w:hint="eastAsia" w:ascii="宋体" w:hAnsi="宋体" w:eastAsia="宋体" w:cs="宋体"/>
          <w:sz w:val="28"/>
          <w:szCs w:val="28"/>
          <w:highlight w:val="none"/>
        </w:rPr>
        <w:t>3、本合同一式</w:t>
      </w:r>
      <w:r>
        <w:rPr>
          <w:rFonts w:hint="eastAsia" w:ascii="宋体" w:hAnsi="宋体" w:eastAsia="宋体" w:cs="宋体"/>
          <w:sz w:val="28"/>
          <w:szCs w:val="28"/>
          <w:highlight w:val="none"/>
          <w:lang w:eastAsia="zh-CN"/>
        </w:rPr>
        <w:t>5</w:t>
      </w:r>
      <w:r>
        <w:rPr>
          <w:rFonts w:hint="eastAsia" w:ascii="宋体" w:hAnsi="宋体" w:eastAsia="宋体" w:cs="宋体"/>
          <w:sz w:val="28"/>
          <w:szCs w:val="28"/>
          <w:highlight w:val="none"/>
        </w:rPr>
        <w:t>份，自双方签章之日起起效。甲方</w:t>
      </w:r>
      <w:r>
        <w:rPr>
          <w:rFonts w:hint="eastAsia" w:ascii="宋体" w:hAnsi="宋体" w:eastAsia="宋体" w:cs="宋体"/>
          <w:sz w:val="28"/>
          <w:szCs w:val="28"/>
          <w:highlight w:val="none"/>
          <w:lang w:eastAsia="zh-CN"/>
        </w:rPr>
        <w:t>3</w:t>
      </w:r>
      <w:r>
        <w:rPr>
          <w:rFonts w:hint="eastAsia" w:ascii="宋体" w:hAnsi="宋体" w:eastAsia="宋体" w:cs="宋体"/>
          <w:sz w:val="28"/>
          <w:szCs w:val="28"/>
          <w:highlight w:val="none"/>
        </w:rPr>
        <w:t>份，乙方</w:t>
      </w: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rPr>
        <w:t>份，采购代理机构</w:t>
      </w: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rPr>
        <w:t>份，具有同等法律效力。</w:t>
      </w:r>
    </w:p>
    <w:p w14:paraId="4F3EB62A">
      <w:pPr>
        <w:numPr>
          <w:ilvl w:val="0"/>
          <w:numId w:val="1"/>
        </w:numPr>
        <w:rPr>
          <w:rFonts w:hint="eastAsia" w:ascii="宋体" w:hAnsi="宋体" w:eastAsia="宋体" w:cs="宋体"/>
          <w:b/>
          <w:sz w:val="28"/>
          <w:szCs w:val="28"/>
          <w:highlight w:val="none"/>
        </w:rPr>
      </w:pPr>
      <w:r>
        <w:rPr>
          <w:rFonts w:hint="eastAsia" w:ascii="宋体" w:hAnsi="宋体" w:eastAsia="宋体" w:cs="宋体"/>
          <w:b/>
          <w:sz w:val="28"/>
          <w:szCs w:val="28"/>
          <w:highlight w:val="none"/>
        </w:rPr>
        <w:t>附件</w:t>
      </w:r>
    </w:p>
    <w:p w14:paraId="7D2B1E8C">
      <w:pPr>
        <w:rPr>
          <w:rFonts w:hint="eastAsia" w:ascii="宋体" w:hAnsi="宋体" w:eastAsia="宋体" w:cs="宋体"/>
          <w:sz w:val="28"/>
          <w:szCs w:val="28"/>
          <w:highlight w:val="none"/>
        </w:rPr>
      </w:pPr>
      <w:r>
        <w:rPr>
          <w:rFonts w:hint="eastAsia" w:ascii="宋体" w:hAnsi="宋体" w:eastAsia="宋体" w:cs="宋体"/>
          <w:sz w:val="28"/>
          <w:szCs w:val="28"/>
          <w:highlight w:val="none"/>
        </w:rPr>
        <w:t>1、项目</w:t>
      </w:r>
      <w:r>
        <w:rPr>
          <w:rFonts w:hint="eastAsia" w:ascii="宋体" w:hAnsi="宋体" w:eastAsia="宋体" w:cs="宋体"/>
          <w:sz w:val="28"/>
          <w:szCs w:val="28"/>
          <w:highlight w:val="none"/>
          <w:lang w:eastAsia="zh-CN"/>
        </w:rPr>
        <w:t>磋商</w:t>
      </w:r>
      <w:r>
        <w:rPr>
          <w:rFonts w:hint="eastAsia" w:ascii="宋体" w:hAnsi="宋体" w:eastAsia="宋体" w:cs="宋体"/>
          <w:sz w:val="28"/>
          <w:szCs w:val="28"/>
          <w:highlight w:val="none"/>
        </w:rPr>
        <w:t>文件</w:t>
      </w:r>
    </w:p>
    <w:p w14:paraId="166405AB">
      <w:pPr>
        <w:rPr>
          <w:rFonts w:hint="eastAsia" w:ascii="宋体" w:hAnsi="宋体" w:eastAsia="宋体" w:cs="宋体"/>
          <w:sz w:val="28"/>
          <w:szCs w:val="28"/>
          <w:highlight w:val="none"/>
        </w:rPr>
      </w:pPr>
      <w:r>
        <w:rPr>
          <w:rFonts w:hint="eastAsia" w:ascii="宋体" w:hAnsi="宋体" w:eastAsia="宋体" w:cs="宋体"/>
          <w:sz w:val="28"/>
          <w:szCs w:val="28"/>
          <w:highlight w:val="none"/>
        </w:rPr>
        <w:t>2、项目修改澄清文件</w:t>
      </w:r>
    </w:p>
    <w:p w14:paraId="1D347F91">
      <w:pPr>
        <w:rPr>
          <w:rFonts w:hint="eastAsia" w:ascii="宋体" w:hAnsi="宋体" w:eastAsia="宋体" w:cs="宋体"/>
          <w:sz w:val="28"/>
          <w:szCs w:val="28"/>
          <w:highlight w:val="none"/>
        </w:rPr>
      </w:pPr>
      <w:r>
        <w:rPr>
          <w:rFonts w:hint="eastAsia" w:ascii="宋体" w:hAnsi="宋体" w:eastAsia="宋体" w:cs="宋体"/>
          <w:sz w:val="28"/>
          <w:szCs w:val="28"/>
          <w:highlight w:val="none"/>
        </w:rPr>
        <w:t>3、项目</w:t>
      </w:r>
      <w:r>
        <w:rPr>
          <w:rFonts w:hint="eastAsia" w:ascii="宋体" w:hAnsi="宋体" w:eastAsia="宋体" w:cs="宋体"/>
          <w:sz w:val="28"/>
          <w:szCs w:val="28"/>
          <w:highlight w:val="none"/>
          <w:lang w:eastAsia="zh-CN"/>
        </w:rPr>
        <w:t>响应</w:t>
      </w:r>
      <w:r>
        <w:rPr>
          <w:rFonts w:hint="eastAsia" w:ascii="宋体" w:hAnsi="宋体" w:eastAsia="宋体" w:cs="宋体"/>
          <w:sz w:val="28"/>
          <w:szCs w:val="28"/>
          <w:highlight w:val="none"/>
        </w:rPr>
        <w:t>文件</w:t>
      </w:r>
    </w:p>
    <w:p w14:paraId="4BEF318C">
      <w:pPr>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eastAsia="zh-CN"/>
        </w:rPr>
        <w:t>成交</w:t>
      </w:r>
      <w:r>
        <w:rPr>
          <w:rFonts w:hint="eastAsia" w:ascii="宋体" w:hAnsi="宋体" w:eastAsia="宋体" w:cs="宋体"/>
          <w:sz w:val="28"/>
          <w:szCs w:val="28"/>
          <w:highlight w:val="none"/>
        </w:rPr>
        <w:t>通知书</w:t>
      </w:r>
    </w:p>
    <w:p w14:paraId="55F68F8D">
      <w:pPr>
        <w:rPr>
          <w:rFonts w:hint="eastAsia" w:ascii="宋体" w:hAnsi="宋体" w:eastAsia="宋体" w:cs="宋体"/>
          <w:sz w:val="28"/>
          <w:szCs w:val="28"/>
          <w:highlight w:val="none"/>
        </w:rPr>
      </w:pPr>
      <w:r>
        <w:rPr>
          <w:rFonts w:hint="eastAsia" w:ascii="宋体" w:hAnsi="宋体" w:eastAsia="宋体" w:cs="宋体"/>
          <w:sz w:val="28"/>
          <w:szCs w:val="28"/>
          <w:highlight w:val="none"/>
        </w:rPr>
        <w:t>5、其他</w:t>
      </w:r>
    </w:p>
    <w:p w14:paraId="294456C6">
      <w:pPr>
        <w:rPr>
          <w:rFonts w:hint="eastAsia" w:ascii="宋体" w:hAnsi="宋体" w:eastAsia="宋体" w:cs="宋体"/>
          <w:sz w:val="28"/>
          <w:szCs w:val="28"/>
          <w:highlight w:val="none"/>
        </w:rPr>
      </w:pPr>
    </w:p>
    <w:p w14:paraId="33500C8D">
      <w:pPr>
        <w:pStyle w:val="2"/>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本页无正文）</w:t>
      </w:r>
      <w:bookmarkStart w:id="53" w:name="_GoBack"/>
      <w:bookmarkEnd w:id="53"/>
    </w:p>
    <w:p w14:paraId="5C6FC7FE">
      <w:pPr>
        <w:rPr>
          <w:rFonts w:hint="eastAsia"/>
        </w:rPr>
      </w:pPr>
    </w:p>
    <w:p w14:paraId="77676E66">
      <w:pPr>
        <w:rPr>
          <w:rFonts w:hint="eastAsia" w:ascii="宋体" w:hAnsi="宋体" w:eastAsia="宋体" w:cs="宋体"/>
          <w:sz w:val="28"/>
          <w:szCs w:val="28"/>
          <w:highlight w:val="none"/>
        </w:rPr>
      </w:pPr>
      <w:r>
        <w:rPr>
          <w:rFonts w:hint="eastAsia" w:ascii="宋体" w:hAnsi="宋体" w:eastAsia="宋体" w:cs="宋体"/>
          <w:sz w:val="28"/>
          <w:szCs w:val="28"/>
          <w:highlight w:val="none"/>
        </w:rPr>
        <w:t>甲</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方：   （盖章）</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乙</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方：（盖章）</w:t>
      </w:r>
    </w:p>
    <w:p w14:paraId="58E38848">
      <w:pP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法定代表人（授权代表）：</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法定代表人（授权代表）：</w:t>
      </w:r>
    </w:p>
    <w:p w14:paraId="584DBA19">
      <w:pPr>
        <w:rPr>
          <w:rFonts w:hint="eastAsia" w:ascii="宋体" w:hAnsi="宋体" w:eastAsia="宋体" w:cs="宋体"/>
          <w:sz w:val="28"/>
          <w:szCs w:val="28"/>
          <w:highlight w:val="none"/>
        </w:rPr>
      </w:pPr>
      <w:r>
        <w:rPr>
          <w:rFonts w:hint="eastAsia" w:ascii="宋体" w:hAnsi="宋体" w:eastAsia="宋体" w:cs="宋体"/>
          <w:sz w:val="28"/>
          <w:szCs w:val="28"/>
          <w:highlight w:val="none"/>
        </w:rPr>
        <w:t>地</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址：</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地</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址：</w:t>
      </w:r>
    </w:p>
    <w:p w14:paraId="2A2C15E2">
      <w:pPr>
        <w:rPr>
          <w:rFonts w:hint="eastAsia" w:ascii="宋体" w:hAnsi="宋体" w:eastAsia="宋体" w:cs="宋体"/>
          <w:sz w:val="28"/>
          <w:szCs w:val="28"/>
          <w:highlight w:val="none"/>
        </w:rPr>
      </w:pPr>
      <w:r>
        <w:rPr>
          <w:rFonts w:hint="eastAsia" w:ascii="宋体" w:hAnsi="宋体" w:eastAsia="宋体" w:cs="宋体"/>
          <w:sz w:val="28"/>
          <w:szCs w:val="28"/>
          <w:highlight w:val="none"/>
        </w:rPr>
        <w:t>开户银行：</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开户银行：</w:t>
      </w:r>
    </w:p>
    <w:p w14:paraId="173D6B28">
      <w:pPr>
        <w:rPr>
          <w:rFonts w:hint="eastAsia" w:ascii="宋体" w:hAnsi="宋体" w:eastAsia="宋体" w:cs="宋体"/>
          <w:sz w:val="28"/>
          <w:szCs w:val="28"/>
          <w:highlight w:val="none"/>
        </w:rPr>
      </w:pPr>
      <w:r>
        <w:rPr>
          <w:rFonts w:hint="eastAsia" w:ascii="宋体" w:hAnsi="宋体" w:eastAsia="宋体" w:cs="宋体"/>
          <w:sz w:val="28"/>
          <w:szCs w:val="28"/>
          <w:highlight w:val="none"/>
        </w:rPr>
        <w:t>账</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号：</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账</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号：</w:t>
      </w:r>
    </w:p>
    <w:p w14:paraId="49E766B5">
      <w:pPr>
        <w:rPr>
          <w:rFonts w:hint="eastAsia" w:ascii="宋体" w:hAnsi="宋体" w:eastAsia="宋体" w:cs="宋体"/>
          <w:sz w:val="28"/>
          <w:szCs w:val="28"/>
          <w:highlight w:val="none"/>
        </w:rPr>
      </w:pPr>
      <w:r>
        <w:rPr>
          <w:rFonts w:hint="eastAsia" w:ascii="宋体" w:hAnsi="宋体" w:eastAsia="宋体" w:cs="宋体"/>
          <w:sz w:val="28"/>
          <w:szCs w:val="28"/>
          <w:highlight w:val="none"/>
        </w:rPr>
        <w:t>电</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话：</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电</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话：</w:t>
      </w:r>
    </w:p>
    <w:p w14:paraId="314FD676">
      <w:pPr>
        <w:rPr>
          <w:rFonts w:hint="eastAsia" w:ascii="宋体" w:hAnsi="宋体" w:eastAsia="宋体" w:cs="宋体"/>
          <w:sz w:val="28"/>
          <w:szCs w:val="28"/>
          <w:highlight w:val="none"/>
        </w:rPr>
      </w:pPr>
      <w:r>
        <w:rPr>
          <w:rFonts w:hint="eastAsia" w:ascii="宋体" w:hAnsi="宋体" w:eastAsia="宋体" w:cs="宋体"/>
          <w:sz w:val="28"/>
          <w:szCs w:val="28"/>
          <w:highlight w:val="none"/>
        </w:rPr>
        <w:t>传</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真：</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传</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真：</w:t>
      </w:r>
    </w:p>
    <w:bookmarkEnd w:id="0"/>
    <w:p w14:paraId="014E8CF8">
      <w:pPr>
        <w:adjustRightInd w:val="0"/>
        <w:snapToGrid w:val="0"/>
        <w:spacing w:beforeLines="50" w:afterLines="50" w:line="360" w:lineRule="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日 期：                          日 期：</w:t>
      </w:r>
    </w:p>
    <w:p w14:paraId="554E9A87">
      <w:pPr>
        <w:spacing w:line="500" w:lineRule="exact"/>
        <w:rPr>
          <w:rFonts w:asciiTheme="minorEastAsia" w:hAnsiTheme="minorEastAsia"/>
          <w:sz w:val="28"/>
          <w:szCs w:val="28"/>
        </w:rPr>
      </w:pPr>
    </w:p>
    <w:sectPr>
      <w:headerReference r:id="rId3" w:type="first"/>
      <w:footerReference r:id="rId4" w:type="default"/>
      <w:footerReference r:id="rId5" w:type="even"/>
      <w:pgSz w:w="11906" w:h="16838"/>
      <w:pgMar w:top="1440" w:right="1797" w:bottom="1440" w:left="1797"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24556"/>
    </w:sdtPr>
    <w:sdtContent>
      <w:p w14:paraId="5F04DB5D">
        <w:pPr>
          <w:pStyle w:val="5"/>
          <w:jc w:val="center"/>
        </w:pPr>
        <w:r>
          <w:fldChar w:fldCharType="begin"/>
        </w:r>
        <w:r>
          <w:instrText xml:space="preserve"> PAGE   \* MERGEFORMAT </w:instrText>
        </w:r>
        <w:r>
          <w:fldChar w:fldCharType="separate"/>
        </w:r>
        <w:r>
          <w:rPr>
            <w:lang w:val="zh-CN"/>
          </w:rPr>
          <w:t>1</w:t>
        </w:r>
        <w:r>
          <w:rPr>
            <w:lang w:val="zh-CN"/>
          </w:rPr>
          <w:fldChar w:fldCharType="end"/>
        </w:r>
      </w:p>
    </w:sdtContent>
  </w:sdt>
  <w:p w14:paraId="4F3CFA6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02B29">
    <w:pPr>
      <w:pStyle w:val="5"/>
      <w:framePr w:wrap="around" w:vAnchor="text" w:hAnchor="margin" w:xAlign="outside" w:y="2"/>
      <w:rPr>
        <w:rStyle w:val="9"/>
      </w:rPr>
    </w:pPr>
    <w:r>
      <w:fldChar w:fldCharType="begin"/>
    </w:r>
    <w:r>
      <w:rPr>
        <w:rStyle w:val="9"/>
      </w:rPr>
      <w:instrText xml:space="preserve">PAGE  </w:instrText>
    </w:r>
    <w:r>
      <w:fldChar w:fldCharType="separate"/>
    </w:r>
    <w:r>
      <w:rPr>
        <w:rStyle w:val="9"/>
      </w:rPr>
      <w:t>24</w:t>
    </w:r>
    <w:r>
      <w:fldChar w:fldCharType="end"/>
    </w:r>
  </w:p>
  <w:p w14:paraId="7D731FFD">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8D42">
    <w:pPr>
      <w:pStyle w:val="6"/>
      <w:pBdr>
        <w:bottom w:val="none" w:color="auto" w:sz="0" w:space="0"/>
      </w:pBdr>
      <w:tabs>
        <w:tab w:val="left" w:pos="4200"/>
        <w:tab w:val="left" w:pos="4620"/>
        <w:tab w:val="left" w:pos="5040"/>
        <w:tab w:val="clear" w:pos="8306"/>
      </w:tabs>
      <w:jc w:val="left"/>
    </w:pP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cs="Times New Roman"/>
        <w:sz w:val="21"/>
        <w:szCs w:val="21"/>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32D"/>
    <w:rsid w:val="0002138A"/>
    <w:rsid w:val="000542F1"/>
    <w:rsid w:val="00060642"/>
    <w:rsid w:val="00063FFB"/>
    <w:rsid w:val="00064D08"/>
    <w:rsid w:val="00091577"/>
    <w:rsid w:val="000E0A46"/>
    <w:rsid w:val="00102A8F"/>
    <w:rsid w:val="0011032D"/>
    <w:rsid w:val="00111F51"/>
    <w:rsid w:val="00123784"/>
    <w:rsid w:val="0014060C"/>
    <w:rsid w:val="0014303C"/>
    <w:rsid w:val="00174E5E"/>
    <w:rsid w:val="00201A87"/>
    <w:rsid w:val="00276343"/>
    <w:rsid w:val="002822A3"/>
    <w:rsid w:val="002A57E4"/>
    <w:rsid w:val="002F3899"/>
    <w:rsid w:val="002F7D11"/>
    <w:rsid w:val="00333D1B"/>
    <w:rsid w:val="00401EA5"/>
    <w:rsid w:val="00470164"/>
    <w:rsid w:val="00553C70"/>
    <w:rsid w:val="00592494"/>
    <w:rsid w:val="005B1047"/>
    <w:rsid w:val="005D465E"/>
    <w:rsid w:val="00605957"/>
    <w:rsid w:val="006976AE"/>
    <w:rsid w:val="006D2E33"/>
    <w:rsid w:val="006D495C"/>
    <w:rsid w:val="006F651A"/>
    <w:rsid w:val="006F7B08"/>
    <w:rsid w:val="0070257A"/>
    <w:rsid w:val="00712A62"/>
    <w:rsid w:val="00714305"/>
    <w:rsid w:val="007327AE"/>
    <w:rsid w:val="00741594"/>
    <w:rsid w:val="00765309"/>
    <w:rsid w:val="00794606"/>
    <w:rsid w:val="007B29F4"/>
    <w:rsid w:val="007E7B36"/>
    <w:rsid w:val="00815741"/>
    <w:rsid w:val="00842F6E"/>
    <w:rsid w:val="008466E7"/>
    <w:rsid w:val="00851B2E"/>
    <w:rsid w:val="00855D79"/>
    <w:rsid w:val="00892ACF"/>
    <w:rsid w:val="008A59A2"/>
    <w:rsid w:val="008B60FD"/>
    <w:rsid w:val="0093670B"/>
    <w:rsid w:val="009A32FD"/>
    <w:rsid w:val="009B77F0"/>
    <w:rsid w:val="009D4BAC"/>
    <w:rsid w:val="009E7A6E"/>
    <w:rsid w:val="009F61E1"/>
    <w:rsid w:val="00A06B06"/>
    <w:rsid w:val="00A35694"/>
    <w:rsid w:val="00A61905"/>
    <w:rsid w:val="00A67FEA"/>
    <w:rsid w:val="00AA74A3"/>
    <w:rsid w:val="00AD0BC3"/>
    <w:rsid w:val="00AE50C9"/>
    <w:rsid w:val="00B1731A"/>
    <w:rsid w:val="00B64D9C"/>
    <w:rsid w:val="00B71288"/>
    <w:rsid w:val="00C22DB8"/>
    <w:rsid w:val="00C77B97"/>
    <w:rsid w:val="00C85507"/>
    <w:rsid w:val="00CD442B"/>
    <w:rsid w:val="00CE6CCB"/>
    <w:rsid w:val="00D75BB3"/>
    <w:rsid w:val="00DC33DB"/>
    <w:rsid w:val="00E30265"/>
    <w:rsid w:val="00E327AB"/>
    <w:rsid w:val="00E3512B"/>
    <w:rsid w:val="00E36B17"/>
    <w:rsid w:val="00E6338F"/>
    <w:rsid w:val="00E835DB"/>
    <w:rsid w:val="00E97B52"/>
    <w:rsid w:val="00EB477F"/>
    <w:rsid w:val="00EE3F45"/>
    <w:rsid w:val="00EF3AF0"/>
    <w:rsid w:val="00F33E05"/>
    <w:rsid w:val="00F44D65"/>
    <w:rsid w:val="00F94B36"/>
    <w:rsid w:val="00FB785A"/>
    <w:rsid w:val="1710641B"/>
    <w:rsid w:val="186C5298"/>
    <w:rsid w:val="187B6385"/>
    <w:rsid w:val="1D192769"/>
    <w:rsid w:val="30DA1E39"/>
    <w:rsid w:val="31E45DA3"/>
    <w:rsid w:val="34715780"/>
    <w:rsid w:val="3E117473"/>
    <w:rsid w:val="49E85B50"/>
    <w:rsid w:val="4F19228E"/>
    <w:rsid w:val="5A184478"/>
    <w:rsid w:val="5D8443BB"/>
    <w:rsid w:val="64552270"/>
    <w:rsid w:val="6E1D2C55"/>
    <w:rsid w:val="759A2E93"/>
    <w:rsid w:val="76270055"/>
    <w:rsid w:val="7BA139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kern w:val="0"/>
      <w:sz w:val="32"/>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styleId="10">
    <w:name w:val="List Paragraph"/>
    <w:basedOn w:val="1"/>
    <w:qFormat/>
    <w:uiPriority w:val="34"/>
    <w:pPr>
      <w:ind w:firstLine="420" w:firstLineChars="200"/>
    </w:p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5496-944E-489F-B29A-319AD04E758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1365</Words>
  <Characters>1382</Characters>
  <Lines>12</Lines>
  <Paragraphs>3</Paragraphs>
  <TotalTime>2</TotalTime>
  <ScaleCrop>false</ScaleCrop>
  <LinksUpToDate>false</LinksUpToDate>
  <CharactersWithSpaces>1878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2023-08-11T03:02:00Z</dcterms:created>
  <dc:creator>微软用户</dc:creator>
  <cp:lastModifiedBy>姑娘比较二</cp:lastModifiedBy>
  <cp:lastPrinted>2023-08-11T03:01:00Z</cp:lastPrinted>
  <dcterms:modified xsi:type="dcterms:W3CDTF">2026-03-23T01:40:54Z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eyJoZGlkIjoiZDc3NTZmYThiNGUxOWQ4OWI0YzA4NzM2MTM4MWU4YmQiLCJ1c2VySWQiOiIzNzMwOTgzNjQifQ==</vt:lpwstr>
  </property>
  <property fmtid="{D5CDD505-2E9C-101B-9397-08002B2CF9AE}" pid="4" name="ICV">
    <vt:lpwstr>F8E354E1C3C143B2933DD4806C030FFB_13</vt:lpwstr>
  </property>
</Properties>
</file>