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营养改善计划配送服务项目(二次)</w:t>
      </w:r>
    </w:p>
    <w:p>
      <w:pPr>
        <w:pStyle w:val="null3"/>
        <w:jc w:val="center"/>
        <w:outlineLvl w:val="2"/>
      </w:pPr>
      <w:r>
        <w:rPr>
          <w:sz w:val="28"/>
          <w:b/>
        </w:rPr>
        <w:t>采购项目编号：</w:t>
      </w:r>
      <w:r>
        <w:rPr>
          <w:sz w:val="28"/>
          <w:b/>
        </w:rPr>
        <w:t>THXZB2024-1041</w:t>
      </w:r>
      <w:r>
        <w:br/>
      </w:r>
      <w:r>
        <w:br/>
      </w:r>
      <w:r>
        <w:br/>
      </w:r>
    </w:p>
    <w:p>
      <w:pPr>
        <w:pStyle w:val="null3"/>
        <w:jc w:val="center"/>
        <w:outlineLvl w:val="2"/>
      </w:pPr>
      <w:r>
        <w:rPr>
          <w:sz w:val="28"/>
          <w:b/>
        </w:rPr>
        <w:t>西安市长安区鸣犊街道中心学校</w:t>
      </w:r>
    </w:p>
    <w:p>
      <w:pPr>
        <w:pStyle w:val="null3"/>
        <w:jc w:val="center"/>
        <w:outlineLvl w:val="2"/>
      </w:pPr>
      <w:r>
        <w:rPr>
          <w:sz w:val="28"/>
          <w:b/>
        </w:rPr>
        <w:t>陕西天鸿信项目管理有限公司</w:t>
      </w:r>
      <w:r>
        <w:rPr>
          <w:sz w:val="28"/>
          <w:b/>
        </w:rPr>
        <w:t>共同编制</w:t>
      </w:r>
    </w:p>
    <w:p>
      <w:pPr>
        <w:pStyle w:val="null3"/>
        <w:jc w:val="center"/>
        <w:outlineLvl w:val="2"/>
      </w:pPr>
      <w:r>
        <w:rPr>
          <w:sz w:val="28"/>
          <w:b/>
        </w:rPr>
        <w:t>2024年10月09日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陕西天鸿信项目管理有限公司</w:t>
      </w:r>
      <w:r>
        <w:rPr/>
        <w:t>（以下简称“代理机构”）受</w:t>
      </w:r>
      <w:r>
        <w:rPr/>
        <w:t>西安市长安区鸣犊街道中心学校</w:t>
      </w:r>
      <w:r>
        <w:rPr/>
        <w:t>委托，拟对</w:t>
      </w:r>
      <w:r>
        <w:rPr/>
        <w:t>营养改善计划配送服务项目(二次)</w:t>
      </w:r>
      <w:r>
        <w:rPr/>
        <w:t>采用竞争性磋商采购方式进行采购，兹邀请供应商参加本项目的竞争性磋商。</w:t>
      </w:r>
    </w:p>
    <w:p>
      <w:pPr>
        <w:pStyle w:val="null3"/>
        <w:outlineLvl w:val="2"/>
      </w:pPr>
      <w:r>
        <w:rPr>
          <w:sz w:val="28"/>
          <w:b/>
        </w:rPr>
        <w:t>一、项目编号：</w:t>
      </w:r>
      <w:r>
        <w:rPr>
          <w:sz w:val="28"/>
          <w:b/>
        </w:rPr>
        <w:t>THXZB2024-1041</w:t>
      </w:r>
    </w:p>
    <w:p>
      <w:pPr>
        <w:pStyle w:val="null3"/>
        <w:outlineLvl w:val="2"/>
      </w:pPr>
      <w:r>
        <w:rPr>
          <w:sz w:val="28"/>
          <w:b/>
        </w:rPr>
        <w:t>二、项目名称：</w:t>
      </w:r>
      <w:r>
        <w:rPr>
          <w:sz w:val="28"/>
          <w:b/>
        </w:rPr>
        <w:t>营养改善计划配送服务项目(二次)</w:t>
      </w:r>
    </w:p>
    <w:p>
      <w:pPr>
        <w:pStyle w:val="null3"/>
        <w:outlineLvl w:val="2"/>
      </w:pPr>
      <w:r>
        <w:rPr>
          <w:sz w:val="28"/>
          <w:b/>
        </w:rPr>
        <w:t>三、磋商项目简介</w:t>
      </w:r>
    </w:p>
    <w:p>
      <w:pPr>
        <w:pStyle w:val="null3"/>
        <w:ind w:firstLine="480"/>
      </w:pPr>
      <w:r>
        <w:rPr/>
        <w:t>为西安市长安区鸣犊街道中心学校、留公小学、四坡小学、马兴小学、师村小学提供营养改善计划所需的食材及配送。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采购包1（中心学校、留公小学、四坡小学、马兴小学、师村小学）：属于专门面向中小企业采购。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t>2、法定代表人或被授权人身份证明：法定代表人直接磋商须提交其身份证复印件，法定代表人授权代表参加磋商的，须出具授权书及被授权人身份证复印件，供应商需在项目电子化交易系统中按要求上传相应证明文件并进行电子签章；</w:t>
      </w:r>
    </w:p>
    <w:p>
      <w:pPr>
        <w:pStyle w:val="null3"/>
      </w:pPr>
      <w:r>
        <w:rPr/>
        <w:t>3、审计报告：供应商须提供2023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t>4、税收缴纳凭证：供应商须提供磋商截止时间前有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t>5、社会保险缴纳凭证：供应商须提供磋商截止时间前有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t>6、无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t>8、信用查询：供应商在递交响应文件截止时间前被“信用中国”网站和“中国政府采购网”上被列入失信被执行人、重大税收违法失信主体、政府采购严重违法失信行为记录名单的，不得参加磋商。（不强制要求供应商提供查询截图，以开标当天网上查询结果为评审依据）；</w:t>
      </w:r>
    </w:p>
    <w:p>
      <w:pPr>
        <w:pStyle w:val="null3"/>
      </w:pPr>
      <w:r>
        <w:rPr/>
        <w:t>9、食品经营许可证：供应商具有有效的《食品经营许可证》，供应商需在项目电子化交易系统中按要求上传相应证明文件并进行电子签章；</w:t>
      </w:r>
    </w:p>
    <w:p>
      <w:pPr>
        <w:pStyle w:val="null3"/>
      </w:pPr>
      <w:r>
        <w:rPr/>
        <w:t>10、中小企业声明函：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西安市长安区鸣犊街道中心学校</w:t>
      </w:r>
    </w:p>
    <w:p>
      <w:pPr>
        <w:pStyle w:val="null3"/>
      </w:pPr>
      <w:r>
        <w:rPr/>
        <w:t xml:space="preserve"> 地址： </w:t>
      </w:r>
      <w:r>
        <w:rPr/>
        <w:t>西安市长安区鸣犊街道张雷村甲字1号</w:t>
      </w:r>
    </w:p>
    <w:p>
      <w:pPr>
        <w:pStyle w:val="null3"/>
      </w:pPr>
      <w:r>
        <w:rPr/>
        <w:t xml:space="preserve"> 邮编： </w:t>
      </w:r>
      <w:r>
        <w:rPr/>
        <w:t>710102</w:t>
      </w:r>
    </w:p>
    <w:p>
      <w:pPr>
        <w:pStyle w:val="null3"/>
      </w:pPr>
      <w:r>
        <w:rPr/>
        <w:t xml:space="preserve"> 联系人： </w:t>
      </w:r>
      <w:r>
        <w:rPr/>
        <w:t>西安市长安区鸣犊街道中心学校经办</w:t>
      </w:r>
    </w:p>
    <w:p>
      <w:pPr>
        <w:pStyle w:val="null3"/>
      </w:pPr>
      <w:r>
        <w:rPr/>
        <w:t xml:space="preserve"> 联系电话： </w:t>
      </w:r>
      <w:r>
        <w:rPr/>
        <w:t>13720586595</w:t>
      </w:r>
    </w:p>
    <w:p>
      <w:pPr>
        <w:pStyle w:val="null3"/>
        <w:outlineLvl w:val="3"/>
      </w:pPr>
      <w:r>
        <w:rPr>
          <w:sz w:val="24"/>
          <w:b/>
        </w:rPr>
        <w:t>代理机构：</w:t>
      </w:r>
      <w:r>
        <w:rPr>
          <w:sz w:val="24"/>
          <w:b/>
        </w:rPr>
        <w:t>陕西天鸿信项目管理有限公司</w:t>
      </w:r>
    </w:p>
    <w:p>
      <w:pPr>
        <w:pStyle w:val="null3"/>
      </w:pPr>
      <w:r>
        <w:rPr/>
        <w:t xml:space="preserve"> 地址： </w:t>
      </w:r>
      <w:r>
        <w:rPr/>
        <w:t>陕西省西安市雁塔区唐延南路8号泰维智链中心二期南楼1602室</w:t>
      </w:r>
    </w:p>
    <w:p>
      <w:pPr>
        <w:pStyle w:val="null3"/>
      </w:pPr>
      <w:r>
        <w:rPr/>
        <w:t xml:space="preserve"> 邮编： </w:t>
      </w:r>
      <w:r>
        <w:rPr/>
        <w:t>710075</w:t>
      </w:r>
    </w:p>
    <w:p>
      <w:pPr>
        <w:pStyle w:val="null3"/>
      </w:pPr>
      <w:r>
        <w:rPr/>
        <w:t xml:space="preserve"> 联系人： </w:t>
      </w:r>
      <w:r>
        <w:rPr/>
        <w:t>卢晨驰</w:t>
      </w:r>
    </w:p>
    <w:p>
      <w:pPr>
        <w:pStyle w:val="null3"/>
      </w:pPr>
      <w:r>
        <w:rPr/>
        <w:t xml:space="preserve"> 联系电话： </w:t>
      </w:r>
      <w:r>
        <w:rPr/>
        <w:t>029-88210791转811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采购包1：469,053.00元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代理服务费收费标准：参照国家发展和改革委员会《招标代理服务收费暂行办法》（计价格〔2002〕1980号）和国家发展改革委（发改价格〔2003〕857号）文件规定计取，以预算金额作为基数，差额累进法进行计算。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西安市长安区鸣犊街道中心学校</w:t>
      </w:r>
      <w:r>
        <w:rPr/>
        <w:t>和</w:t>
      </w:r>
      <w:r>
        <w:rPr/>
        <w:t>陕西天鸿信项目管理有限公司</w:t>
      </w:r>
      <w:r>
        <w:rPr/>
        <w:t>享有。对磋商文件中供应商参加本次政府采购活动应当具备的条件，磋商项目技术、服务、商务及其他要求，评审细则及标准由</w:t>
      </w:r>
      <w:r>
        <w:rPr/>
        <w:t>西安市长安区鸣犊街道中心学校</w:t>
      </w:r>
      <w:r>
        <w:rPr/>
        <w:t>负责解释。除上述磋商文件内容，其他内容由</w:t>
      </w:r>
      <w:r>
        <w:rPr/>
        <w:t>陕西天鸿信项目管理有限公司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西安市长安区鸣犊街道中心学校</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陕西天鸿信项目管理有限公司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乙方每次随货送上一式三份的供货清单及相关食材检验报告，甲方派专人接收、称重并验收食材质量后由甲方验收员签字确认，作为结算凭证。对不符合质量的品种，甲方有权退、换货。货品验收合格签收，对价格虚高的食材，甲方有权让乙方调整价格。</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陕西天鸿信项目管理有限公司</w:t>
      </w:r>
      <w:r>
        <w:rPr/>
        <w:t xml:space="preserve"> 负责答复；供应商对除采购需求外的采购文件的询问、质疑由</w:t>
      </w:r>
      <w:r>
        <w:rPr/>
        <w:t>陕西天鸿信项目管理有限公司</w:t>
      </w:r>
      <w:r>
        <w:rPr/>
        <w:t xml:space="preserve"> 负责答复；供应商对采购过程、采购结果的询问、质疑由 </w:t>
      </w:r>
      <w:r>
        <w:rPr/>
        <w:t>陕西天鸿信项目管理有限公司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联系人：卢工</w:t>
      </w:r>
    </w:p>
    <w:p>
      <w:pPr>
        <w:pStyle w:val="null3"/>
      </w:pPr>
      <w:r>
        <w:rPr/>
        <w:t>联系电话：029-88210791转811</w:t>
      </w:r>
    </w:p>
    <w:p>
      <w:pPr>
        <w:pStyle w:val="null3"/>
      </w:pPr>
      <w:r>
        <w:rPr/>
        <w:t>地址：陕西省西安市雁塔区唐延南路8号泰维智链中心二期南楼1602室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为西安市长安区鸣犊街道中心学校、留公小学、四坡小学、马兴小学、师村小学提供营养改善计划配送服务所需的食材及配送。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469,053.00</w:t>
      </w:r>
    </w:p>
    <w:p>
      <w:pPr>
        <w:pStyle w:val="null3"/>
      </w:pPr>
      <w:r>
        <w:rPr/>
        <w:t>采购包最高限价（元）: 469,053.00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营养改善计划配送服务</w:t>
            </w:r>
          </w:p>
        </w:tc>
        <w:tc>
          <w:tcPr>
            <w:tcW w:type="dxa" w:w="831"/>
          </w:tcPr>
          <w:p>
            <w:pPr>
              <w:pStyle w:val="null3"/>
              <w:jc w:val="right"/>
            </w:pPr>
            <w:r>
              <w:rPr/>
              <w:t>1.00</w:t>
            </w:r>
          </w:p>
        </w:tc>
        <w:tc>
          <w:tcPr>
            <w:tcW w:type="dxa" w:w="831"/>
          </w:tcPr>
          <w:p>
            <w:pPr>
              <w:pStyle w:val="null3"/>
              <w:jc w:val="right"/>
            </w:pPr>
            <w:r>
              <w:rPr/>
              <w:t>469,053.00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标的名称：营养改善计划配送服务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55"/>
              <w:gridCol w:w="327"/>
              <w:gridCol w:w="819"/>
              <w:gridCol w:w="1242"/>
            </w:tblGrid>
            <w:tr>
              <w:tc>
                <w:tcPr>
                  <w:tcW w:type="dxa" w:w="1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序号</w:t>
                  </w:r>
                </w:p>
              </w:tc>
              <w:tc>
                <w:tcPr>
                  <w:tcW w:type="dxa" w:w="3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服务</w:t>
                  </w:r>
                  <w:r>
                    <w:rPr>
                      <w:rFonts w:ascii="宋体" w:hAnsi="宋体" w:cs="宋体" w:eastAsia="宋体"/>
                      <w:sz w:val="24"/>
                      <w:b/>
                    </w:rPr>
                    <w:t>项目</w:t>
                  </w:r>
                </w:p>
              </w:tc>
              <w:tc>
                <w:tcPr>
                  <w:tcW w:type="dxa" w:w="8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配送</w:t>
                  </w:r>
                  <w:r>
                    <w:rPr>
                      <w:rFonts w:ascii="宋体" w:hAnsi="宋体" w:cs="宋体" w:eastAsia="宋体"/>
                      <w:sz w:val="24"/>
                      <w:b/>
                    </w:rPr>
                    <w:t>内容</w:t>
                  </w:r>
                </w:p>
              </w:tc>
              <w:tc>
                <w:tcPr>
                  <w:tcW w:type="dxa" w:w="1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配送标准</w:t>
                  </w:r>
                </w:p>
              </w:tc>
            </w:tr>
            <w:tr>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0</w:t>
                  </w:r>
                  <w:r>
                    <w:rPr>
                      <w:rFonts w:ascii="宋体" w:hAnsi="宋体" w:cs="宋体" w:eastAsia="宋体"/>
                      <w:sz w:val="24"/>
                    </w:rPr>
                    <w:t>1</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蔬</w:t>
                  </w:r>
                  <w:r>
                    <w:rPr>
                      <w:rFonts w:ascii="宋体" w:hAnsi="宋体" w:cs="宋体" w:eastAsia="宋体"/>
                      <w:sz w:val="24"/>
                    </w:rPr>
                    <w:t>菜</w:t>
                  </w:r>
                  <w:r>
                    <w:rPr>
                      <w:rFonts w:ascii="宋体" w:hAnsi="宋体" w:cs="宋体" w:eastAsia="宋体"/>
                      <w:sz w:val="24"/>
                    </w:rPr>
                    <w:t>类</w:t>
                  </w:r>
                </w:p>
              </w:tc>
              <w:tc>
                <w:tcPr>
                  <w:tcW w:type="dxa" w:w="8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叶菜（白菜、菠菜、空心菜、筒篙、芹菜等）、果蔬类（番茄、黄瓜、茄子等）、根茎类（萝卜、土豆等）、葱蒜类（葱、蒜、韭菜、洋葱等）、水生菜类（藕、菱白等）、芽苗类（豆芽、香椿苗等）各种时令蔬菜等</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both"/>
                  </w:pPr>
                  <w:r>
                    <w:rPr>
                      <w:rFonts w:ascii="宋体" w:hAnsi="宋体" w:cs="宋体" w:eastAsia="宋体"/>
                      <w:sz w:val="24"/>
                    </w:rPr>
                    <w:t>1.外形正常，肉质鲜嫩形态好，色泽正常；</w:t>
                  </w:r>
                </w:p>
                <w:p>
                  <w:pPr>
                    <w:pStyle w:val="null3"/>
                    <w:ind w:right="90"/>
                    <w:jc w:val="both"/>
                  </w:pPr>
                  <w:r>
                    <w:rPr>
                      <w:rFonts w:ascii="宋体" w:hAnsi="宋体" w:cs="宋体" w:eastAsia="宋体"/>
                      <w:sz w:val="24"/>
                    </w:rPr>
                    <w:t>2.叶梗光滑幼嫩，茎基部削平，无枯黄叶、病叶、泥土、明显机械伤和病虫害伤，无烧心焦边、腐烂等现象；</w:t>
                  </w:r>
                </w:p>
                <w:p>
                  <w:pPr>
                    <w:pStyle w:val="null3"/>
                    <w:ind w:right="90"/>
                    <w:jc w:val="both"/>
                  </w:pPr>
                  <w:r>
                    <w:rPr>
                      <w:rFonts w:ascii="宋体" w:hAnsi="宋体" w:cs="宋体" w:eastAsia="宋体"/>
                      <w:sz w:val="24"/>
                    </w:rPr>
                    <w:t>3.无抽苔（菜心除外），无异味，结球叶菜要结球适度，花椰菜应新鲜洁白，不带叶鼓，无畸形花；</w:t>
                  </w:r>
                </w:p>
                <w:p>
                  <w:pPr>
                    <w:pStyle w:val="null3"/>
                    <w:ind w:right="90"/>
                    <w:jc w:val="both"/>
                  </w:pPr>
                  <w:r>
                    <w:rPr>
                      <w:rFonts w:ascii="宋体" w:hAnsi="宋体" w:cs="宋体" w:eastAsia="宋体"/>
                      <w:sz w:val="24"/>
                    </w:rPr>
                    <w:t>4.无明显浸水现象；</w:t>
                  </w:r>
                </w:p>
                <w:p>
                  <w:pPr>
                    <w:pStyle w:val="null3"/>
                    <w:jc w:val="left"/>
                  </w:pPr>
                  <w:r>
                    <w:rPr>
                      <w:rFonts w:ascii="宋体" w:hAnsi="宋体" w:cs="宋体" w:eastAsia="宋体"/>
                      <w:sz w:val="24"/>
                    </w:rPr>
                    <w:t>5.农药残留不超标。</w:t>
                  </w:r>
                </w:p>
                <w:p>
                  <w:pPr>
                    <w:pStyle w:val="null3"/>
                    <w:jc w:val="left"/>
                  </w:pPr>
                  <w:r>
                    <w:rPr>
                      <w:rFonts w:ascii="宋体" w:hAnsi="宋体" w:cs="宋体" w:eastAsia="宋体"/>
                      <w:sz w:val="24"/>
                    </w:rPr>
                    <w:t>6.</w:t>
                  </w:r>
                  <w:r>
                    <w:rPr>
                      <w:rFonts w:ascii="宋体" w:hAnsi="宋体" w:cs="宋体" w:eastAsia="宋体"/>
                      <w:sz w:val="24"/>
                    </w:rPr>
                    <w:t>允许葱、青蒜类保留干净须根，葱、蒜、韭菜不带老叶，蒜头、洋葱去根去枯叶，可食部分新鲜幼嫩，无腐烂、异味。</w:t>
                  </w:r>
                </w:p>
              </w:tc>
            </w:tr>
            <w:tr>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0</w:t>
                  </w:r>
                  <w:r>
                    <w:rPr>
                      <w:rFonts w:ascii="宋体" w:hAnsi="宋体" w:cs="宋体" w:eastAsia="宋体"/>
                      <w:sz w:val="24"/>
                    </w:rPr>
                    <w:t>2</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干货</w:t>
                  </w:r>
                  <w:r>
                    <w:rPr>
                      <w:rFonts w:ascii="宋体" w:hAnsi="宋体" w:cs="宋体" w:eastAsia="宋体"/>
                      <w:sz w:val="24"/>
                    </w:rPr>
                    <w:t>类</w:t>
                  </w:r>
                </w:p>
              </w:tc>
              <w:tc>
                <w:tcPr>
                  <w:tcW w:type="dxa" w:w="8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木耳、海带、紫菜、粉条、腐竹、粉丝</w:t>
                  </w:r>
                  <w:r>
                    <w:rPr>
                      <w:rFonts w:ascii="宋体" w:hAnsi="宋体" w:cs="宋体" w:eastAsia="宋体"/>
                      <w:sz w:val="24"/>
                    </w:rPr>
                    <w:t>、</w:t>
                  </w:r>
                  <w:r>
                    <w:rPr>
                      <w:rFonts w:ascii="宋体" w:hAnsi="宋体" w:cs="宋体" w:eastAsia="宋体"/>
                      <w:sz w:val="24"/>
                    </w:rPr>
                    <w:t>米线</w:t>
                  </w:r>
                  <w:r>
                    <w:rPr>
                      <w:rFonts w:ascii="宋体" w:hAnsi="宋体" w:cs="宋体" w:eastAsia="宋体"/>
                      <w:sz w:val="24"/>
                    </w:rPr>
                    <w:t>等</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both"/>
                  </w:pPr>
                  <w:r>
                    <w:rPr>
                      <w:rFonts w:ascii="宋体" w:hAnsi="宋体" w:cs="宋体" w:eastAsia="宋体"/>
                      <w:sz w:val="24"/>
                    </w:rPr>
                    <w:t>1.</w:t>
                  </w:r>
                  <w:r>
                    <w:rPr>
                      <w:rFonts w:ascii="宋体" w:hAnsi="宋体" w:cs="宋体" w:eastAsia="宋体"/>
                      <w:sz w:val="22"/>
                      <w:color w:val="000000"/>
                    </w:rPr>
                    <w:t>果面均匀，色泽一致，无黑斑、虫蚀</w:t>
                  </w:r>
                  <w:r>
                    <w:rPr>
                      <w:rFonts w:ascii="宋体" w:hAnsi="宋体" w:cs="宋体" w:eastAsia="宋体"/>
                      <w:sz w:val="22"/>
                      <w:color w:val="000000"/>
                    </w:rPr>
                    <w:t>，</w:t>
                  </w:r>
                  <w:r>
                    <w:rPr>
                      <w:rFonts w:ascii="宋体" w:hAnsi="宋体" w:cs="宋体" w:eastAsia="宋体"/>
                      <w:sz w:val="24"/>
                    </w:rPr>
                    <w:t>无霉变和虫蛀鼠咬现象；</w:t>
                  </w:r>
                </w:p>
                <w:p>
                  <w:pPr>
                    <w:pStyle w:val="null3"/>
                    <w:ind w:right="90"/>
                    <w:jc w:val="both"/>
                  </w:pPr>
                  <w:r>
                    <w:rPr>
                      <w:rFonts w:ascii="宋体" w:hAnsi="宋体" w:cs="宋体" w:eastAsia="宋体"/>
                      <w:sz w:val="24"/>
                    </w:rPr>
                    <w:t>2.无异味味，货品新鲜，色泽正常；</w:t>
                  </w:r>
                </w:p>
                <w:p>
                  <w:pPr>
                    <w:pStyle w:val="null3"/>
                    <w:ind w:right="90"/>
                    <w:jc w:val="both"/>
                  </w:pPr>
                  <w:r>
                    <w:rPr>
                      <w:rFonts w:ascii="宋体" w:hAnsi="宋体" w:cs="宋体" w:eastAsia="宋体"/>
                      <w:sz w:val="24"/>
                    </w:rPr>
                    <w:t>3.无“三无”产品，货品在保质期以内，外包装清洁卫生、无破损，包装上的商品名称、厂址、规格、生产日期、质保期等信息与内容物相符，标示清晰，批次号清楚等；</w:t>
                  </w:r>
                </w:p>
                <w:p>
                  <w:pPr>
                    <w:pStyle w:val="null3"/>
                    <w:jc w:val="left"/>
                  </w:pPr>
                  <w:r>
                    <w:rPr>
                      <w:rFonts w:ascii="宋体" w:hAnsi="宋体" w:cs="宋体" w:eastAsia="宋体"/>
                      <w:sz w:val="24"/>
                    </w:rPr>
                    <w:t>4.经食品检验检疫合格，符合国家卫生标准。</w:t>
                  </w:r>
                </w:p>
              </w:tc>
            </w:tr>
            <w:tr>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0</w:t>
                  </w:r>
                  <w:r>
                    <w:rPr>
                      <w:rFonts w:ascii="宋体" w:hAnsi="宋体" w:cs="宋体" w:eastAsia="宋体"/>
                      <w:sz w:val="24"/>
                    </w:rPr>
                    <w:t>3</w:t>
                  </w:r>
                </w:p>
              </w:tc>
              <w:tc>
                <w:tcPr>
                  <w:tcW w:type="dxa" w:w="3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调</w:t>
                  </w:r>
                  <w:r>
                    <w:rPr>
                      <w:rFonts w:ascii="宋体" w:hAnsi="宋体" w:cs="宋体" w:eastAsia="宋体"/>
                      <w:sz w:val="24"/>
                    </w:rPr>
                    <w:t>料类</w:t>
                  </w:r>
                </w:p>
              </w:tc>
              <w:tc>
                <w:tcPr>
                  <w:tcW w:type="dxa" w:w="8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盐、酱油、醋、白糖、冰糖、鸡精、味精、五香粉、孜然粉、胡椒粉、生抽、老抽、红烧料、耗油、味极鲜、番茄酱、料酒、面酱、芝麻酱、花生酱</w:t>
                  </w:r>
                  <w:r>
                    <w:rPr>
                      <w:rFonts w:ascii="宋体" w:hAnsi="宋体" w:cs="宋体" w:eastAsia="宋体"/>
                      <w:sz w:val="24"/>
                    </w:rPr>
                    <w:t>、</w:t>
                  </w:r>
                  <w:r>
                    <w:rPr>
                      <w:rFonts w:ascii="宋体" w:hAnsi="宋体" w:cs="宋体" w:eastAsia="宋体"/>
                      <w:sz w:val="24"/>
                    </w:rPr>
                    <w:t>干辣椒、花椒、八角、桂皮、香叶</w:t>
                  </w:r>
                  <w:r>
                    <w:rPr>
                      <w:rFonts w:ascii="宋体" w:hAnsi="宋体" w:cs="宋体" w:eastAsia="宋体"/>
                      <w:sz w:val="24"/>
                    </w:rPr>
                    <w:t>等</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1.无霉变和虫蛀鼠咬现象；</w:t>
                  </w:r>
                </w:p>
                <w:p>
                  <w:pPr>
                    <w:pStyle w:val="null3"/>
                    <w:jc w:val="both"/>
                  </w:pPr>
                  <w:r>
                    <w:rPr>
                      <w:rFonts w:ascii="宋体" w:hAnsi="宋体" w:cs="宋体" w:eastAsia="宋体"/>
                      <w:sz w:val="24"/>
                    </w:rPr>
                    <w:t>2.无臭味，货品新鲜，色泽正常；</w:t>
                  </w:r>
                </w:p>
                <w:p>
                  <w:pPr>
                    <w:pStyle w:val="null3"/>
                    <w:jc w:val="both"/>
                  </w:pPr>
                  <w:r>
                    <w:rPr>
                      <w:rFonts w:ascii="宋体" w:hAnsi="宋体" w:cs="宋体" w:eastAsia="宋体"/>
                      <w:sz w:val="24"/>
                    </w:rPr>
                    <w:t>3.无“三无”产品，货品在保质期以内，外包装清洁卫生、无破损，包装上的商品名称、厂址、规格、生产日期、质保期等信息与内容物相符，标示清晰，批次号清楚等；</w:t>
                  </w:r>
                </w:p>
                <w:p>
                  <w:pPr>
                    <w:pStyle w:val="null3"/>
                    <w:jc w:val="both"/>
                  </w:pPr>
                  <w:r>
                    <w:rPr>
                      <w:rFonts w:ascii="宋体" w:hAnsi="宋体" w:cs="宋体" w:eastAsia="宋体"/>
                      <w:sz w:val="24"/>
                    </w:rPr>
                    <w:t>4.经食品检验检疫合格，调料成分符合国家卫生标准</w:t>
                  </w:r>
                  <w:r>
                    <w:rPr>
                      <w:rFonts w:ascii="宋体" w:hAnsi="宋体" w:cs="宋体" w:eastAsia="宋体"/>
                      <w:sz w:val="24"/>
                    </w:rPr>
                    <w:t>。</w:t>
                  </w:r>
                </w:p>
              </w:tc>
            </w:tr>
          </w:tbl>
          <w:p/>
        </w:tc>
      </w:tr>
    </w:tbl>
    <w:p>
      <w:pPr>
        <w:pStyle w:val="null3"/>
        <w:outlineLvl w:val="2"/>
      </w:pPr>
      <w:r>
        <w:rPr>
          <w:sz w:val="28"/>
          <w:b/>
        </w:rPr>
        <w:t>3.2.3人员配置要求</w:t>
      </w:r>
    </w:p>
    <w:p>
      <w:pPr>
        <w:pStyle w:val="null3"/>
      </w:pPr>
      <w:r>
        <w:rPr/>
        <w:t>采购包1：</w:t>
      </w:r>
    </w:p>
    <w:p>
      <w:pPr>
        <w:pStyle w:val="null3"/>
      </w:pPr>
      <w:r>
        <w:rPr/>
        <w:t>供应商针对拟投入本项目的团队人员配置合理、职责明确、分工清晰合理、相关人员经过严格培训、有相应的工作经验。</w:t>
      </w:r>
    </w:p>
    <w:p>
      <w:pPr>
        <w:pStyle w:val="null3"/>
        <w:outlineLvl w:val="2"/>
      </w:pPr>
      <w:r>
        <w:rPr>
          <w:sz w:val="28"/>
          <w:b/>
        </w:rPr>
        <w:t>3.2.4设施设备要求</w:t>
      </w:r>
    </w:p>
    <w:p>
      <w:pPr>
        <w:pStyle w:val="null3"/>
      </w:pPr>
      <w:r>
        <w:rPr/>
        <w:t>采购包1：</w:t>
      </w:r>
    </w:p>
    <w:p>
      <w:pPr>
        <w:pStyle w:val="null3"/>
      </w:pPr>
      <w:r>
        <w:rPr/>
        <w:t>供应商针对本项目提供配送服务设备，包括但不限于配送车辆类型、数量、用途、配置说明、保温保鲜、灭菌、防腐措施等。</w:t>
      </w:r>
    </w:p>
    <w:p>
      <w:pPr>
        <w:pStyle w:val="null3"/>
        <w:outlineLvl w:val="2"/>
      </w:pPr>
      <w:r>
        <w:rPr>
          <w:sz w:val="28"/>
          <w:b/>
        </w:rPr>
        <w:t>3.2.5其他要求</w:t>
      </w:r>
    </w:p>
    <w:p>
      <w:pPr>
        <w:pStyle w:val="null3"/>
      </w:pPr>
      <w:r>
        <w:rPr/>
        <w:t>采购包1：</w:t>
      </w:r>
    </w:p>
    <w:p>
      <w:pPr>
        <w:pStyle w:val="null3"/>
      </w:pPr>
      <w:r>
        <w:rPr/>
        <w:t>1.付款方式：按月据实结算，成交供应商在接受采购人的每一笔付款前，应向采购人开具相应金额的发票。 2.定价机制：参考市场、超市价格进行定价，不得高出市场零售价格。 3.配送要求：供应商应按照食堂要求的配送清单按照规定时间将所需产品送至采购人指定地点，如采购人遇到紧急情况需要加班的，供应商应保证加班期间食材的供应。 4.严格按照采购人要求配送到校，因运输装卸过程中造成的损耗（例如包装严重变形、破损，食品污损、腐败变质等），发现的破损、腐败变质等食品必须无条件更换，并不附加任何费用。 5.由采购人对供应商提供的货物不定期进行抽样检查，由采购人选定具备检验资质的检验机构进行检验、检测，检验费用由供应商承担（已含在磋商报价中）。 6.一旦发生食物中毒或疑似食物中毒事故，应及时提供留样样品，配合卫生监督机构进行调查处理工作，不得有留样样品而不提供或提供不真实的留样样品，影响或干扰事故的调查处理工作。若因成交供应商原因造成的食物中毒事故，采购人有权终止合同，一切后果由成交供应商负责。</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验收：乙方每次随货送上一式三份的供货清单及相关食材检验报告，甲方派专人接收、称重并验收食材质量后由甲方验收员签字确认，作为结算凭证。对不符合质量的品种，甲方有权退、换货。货品验收合格签收，对价格虚高的食材，甲方有权让乙方调整价格。 2、验收标准如下： （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供应商需要提供三证，即生产厂家的卫生许可证（若非从厂家直接采购的还需同时提供供货单位的卫生许可证）复印件；批次产品卫生主管部门的检验报告；送货人员的健康证明； （3）包装污秽不洁、严重破损、运输工具不洁等造成污染的产品不得验收通过； （4）非定型包装的食材（或原材料）需进行感官检查：若发现腐败变质、油脂酸度、 霉变、生虫、不洁，混有异物或者其他感官性状异常现象，不得验收通过；未经卫生检验部门或者检验不合格的肉类及其制品不得验收通过；掺假、掺杂、伪造的食品不得验收通过。 3、验收不合格食材，乙方必须在接到通知后当日内提供新的食材。若更换后食材仍验收仍不合格，甲方可提出索赔或取消与其签署的成交合同。采购代理机构将把成交资格授予评审排序下一名的成交供应商。 4、验收依据： 4.1 本合同文本及合同补充文件（若有）； 4.2 竞争性磋商文件、乙方的竞争性磋商响应文件； 4.3 国家或行业相应的标准、规范。</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按月据实结算，成交供应商在接受采购人的每一笔付款前，应向采购人开具相应金额的发票。 结算价格：当月采购人签字确认的供货单×（1-优惠率）</w:t>
      </w:r>
      <w:r>
        <w:rPr/>
        <w:t xml:space="preserve"> ，达到付款条件起 </w:t>
      </w:r>
      <w:r>
        <w:rPr/>
        <w:t>7</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1、本项目属性为 服务 。 2、本项目采购标的所属行业为：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3、供应商需要在线提交所有通过电子化交易平台实施的政府采购项目的响应文件，同时，线下提交纸质响应文件正本壹份、副本贰份、电子版壹份（U盘壹份），所有文件密封到一起递交。线下纸质文件递交截止时间：同在线递交电子响应文件截止时间一致；线下纸质文件递交地点：陕西省西安市雁塔区唐延南路8号泰维智链中心二期南楼1602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法定代表人或被授权人身份证明</w:t>
            </w:r>
          </w:p>
        </w:tc>
        <w:tc>
          <w:tcPr>
            <w:tcW w:type="dxa" w:w="3322"/>
          </w:tcPr>
          <w:p>
            <w:pPr>
              <w:pStyle w:val="null3"/>
            </w:pPr>
            <w:r>
              <w:rPr/>
              <w:t>法定代表人直接磋商须提交其身份证复印件，法定代表人授权代表参加磋商的，须出具授权书及被授权人身份证复印件，供应商需在项目电子化交易系统中按要求上传相应证明文件并进行电子签章；</w:t>
            </w:r>
          </w:p>
        </w:tc>
        <w:tc>
          <w:tcPr>
            <w:tcW w:type="dxa" w:w="1661"/>
          </w:tcPr>
          <w:p>
            <w:pPr>
              <w:pStyle w:val="null3"/>
            </w:pPr>
            <w:r>
              <w:rPr/>
              <w:t>供应商资格证明文件 供应商身份证明</w:t>
            </w:r>
          </w:p>
        </w:tc>
      </w:tr>
      <w:tr>
        <w:tc>
          <w:tcPr>
            <w:tcW w:type="dxa" w:w="831"/>
          </w:tcPr>
          <w:p>
            <w:pPr>
              <w:pStyle w:val="null3"/>
            </w:pPr>
            <w:r>
              <w:rPr/>
              <w:t>3</w:t>
            </w:r>
          </w:p>
        </w:tc>
        <w:tc>
          <w:tcPr>
            <w:tcW w:type="dxa" w:w="2492"/>
          </w:tcPr>
          <w:p>
            <w:pPr>
              <w:pStyle w:val="null3"/>
            </w:pPr>
            <w:r>
              <w:rPr/>
              <w:t>审计报告</w:t>
            </w:r>
          </w:p>
        </w:tc>
        <w:tc>
          <w:tcPr>
            <w:tcW w:type="dxa" w:w="3322"/>
          </w:tcPr>
          <w:p>
            <w:pPr>
              <w:pStyle w:val="null3"/>
            </w:pPr>
            <w:r>
              <w:rPr/>
              <w:t>供应商须提供2023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税收缴纳凭证</w:t>
            </w:r>
          </w:p>
        </w:tc>
        <w:tc>
          <w:tcPr>
            <w:tcW w:type="dxa" w:w="3322"/>
          </w:tcPr>
          <w:p>
            <w:pPr>
              <w:pStyle w:val="null3"/>
            </w:pPr>
            <w:r>
              <w:rPr/>
              <w:t>供应商须提供磋商截止时间前有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社会保险缴纳凭证</w:t>
            </w:r>
          </w:p>
        </w:tc>
        <w:tc>
          <w:tcPr>
            <w:tcW w:type="dxa" w:w="3322"/>
          </w:tcPr>
          <w:p>
            <w:pPr>
              <w:pStyle w:val="null3"/>
            </w:pPr>
            <w:r>
              <w:rPr/>
              <w:t>供应商须提供磋商截止时间前有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无重大违法记录的书面声明</w:t>
            </w:r>
          </w:p>
        </w:tc>
        <w:tc>
          <w:tcPr>
            <w:tcW w:type="dxa" w:w="3322"/>
          </w:tcPr>
          <w:p>
            <w:pPr>
              <w:pStyle w:val="null3"/>
            </w:pPr>
            <w:r>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具有履行合同所必需的设备和专业技术能力的承诺函</w:t>
            </w:r>
          </w:p>
        </w:tc>
        <w:tc>
          <w:tcPr>
            <w:tcW w:type="dxa" w:w="3322"/>
          </w:tcPr>
          <w:p>
            <w:pPr>
              <w:pStyle w:val="null3"/>
            </w:pPr>
            <w:r>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在递交响应文件截止时间前被“信用中国”网站和“中国政府采购网”上被列入失信被执行人、重大税收违法失信主体、政府采购严重违法失信行为记录名单的，不得参加磋商。（不强制要求供应商提供查询截图，以开标当天网上查询结果为评审依据）；</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食品经营许可证</w:t>
            </w:r>
          </w:p>
        </w:tc>
        <w:tc>
          <w:tcPr>
            <w:tcW w:type="dxa" w:w="3322"/>
          </w:tcPr>
          <w:p>
            <w:pPr>
              <w:pStyle w:val="null3"/>
            </w:pPr>
            <w:r>
              <w:rPr/>
              <w:t>供应商具有有效的《食品经营许可证》，供应商需在项目电子化交易系统中按要求上传相应证明文件并进行电子签章；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型企业采购，仅限符合《政府采购促进中小企业发展管理办法》（财库〔2020〕46号）条件的中型、小型、微型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t>中小企业声明函 残疾人福利性单位声明函 供应商资格证明文件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磋商响应文件中项目名称、项目编号与本项目一致，无遗漏；</w:t>
            </w:r>
          </w:p>
        </w:tc>
        <w:tc>
          <w:tcPr>
            <w:tcW w:type="dxa" w:w="1661"/>
          </w:tcPr>
          <w:p>
            <w:pPr>
              <w:pStyle w:val="null3"/>
            </w:pPr>
            <w:r>
              <w:rPr/>
              <w:t>响应文件封面 响应函 供应商资格证明文件 供应商身份证明</w:t>
            </w:r>
          </w:p>
        </w:tc>
      </w:tr>
      <w:tr>
        <w:tc>
          <w:tcPr>
            <w:tcW w:type="dxa" w:w="831"/>
          </w:tcPr>
          <w:p>
            <w:pPr>
              <w:pStyle w:val="null3"/>
            </w:pPr>
            <w:r>
              <w:rPr/>
              <w:t>3</w:t>
            </w:r>
          </w:p>
        </w:tc>
        <w:tc>
          <w:tcPr>
            <w:tcW w:type="dxa" w:w="2492"/>
          </w:tcPr>
          <w:p>
            <w:pPr>
              <w:pStyle w:val="null3"/>
            </w:pPr>
            <w:r>
              <w:rPr/>
              <w:t>签字或盖章</w:t>
            </w:r>
          </w:p>
        </w:tc>
        <w:tc>
          <w:tcPr>
            <w:tcW w:type="dxa" w:w="3322"/>
          </w:tcPr>
          <w:p>
            <w:pPr>
              <w:pStyle w:val="null3"/>
            </w:pPr>
            <w:r>
              <w:rPr/>
              <w:t>磋商响应文件签署、盖章及磋商有效期符合磋商文件要求；</w:t>
            </w:r>
          </w:p>
        </w:tc>
        <w:tc>
          <w:tcPr>
            <w:tcW w:type="dxa" w:w="1661"/>
          </w:tcPr>
          <w:p>
            <w:pPr>
              <w:pStyle w:val="null3"/>
            </w:pPr>
            <w:r>
              <w:rPr/>
              <w:t>供应商承诺书 供应商资格证明文件 供应商身份证明</w:t>
            </w:r>
          </w:p>
        </w:tc>
      </w:tr>
      <w:tr>
        <w:tc>
          <w:tcPr>
            <w:tcW w:type="dxa" w:w="831"/>
          </w:tcPr>
          <w:p>
            <w:pPr>
              <w:pStyle w:val="null3"/>
            </w:pPr>
            <w:r>
              <w:rPr/>
              <w:t>4</w:t>
            </w:r>
          </w:p>
        </w:tc>
        <w:tc>
          <w:tcPr>
            <w:tcW w:type="dxa" w:w="2492"/>
          </w:tcPr>
          <w:p>
            <w:pPr>
              <w:pStyle w:val="null3"/>
            </w:pPr>
            <w:r>
              <w:rPr/>
              <w:t>磋商报价符合唯一性要求</w:t>
            </w:r>
          </w:p>
        </w:tc>
        <w:tc>
          <w:tcPr>
            <w:tcW w:type="dxa" w:w="3322"/>
          </w:tcPr>
          <w:p>
            <w:pPr>
              <w:pStyle w:val="null3"/>
            </w:pPr>
            <w:r>
              <w:rPr/>
              <w:t>磋商报价符合唯一性要求；磋商报价未超出采购预算或采购最高限价；</w:t>
            </w:r>
          </w:p>
        </w:tc>
        <w:tc>
          <w:tcPr>
            <w:tcW w:type="dxa" w:w="1661"/>
          </w:tcPr>
          <w:p>
            <w:pPr>
              <w:pStyle w:val="null3"/>
            </w:pPr>
            <w:r>
              <w:rPr/>
              <w:t>标的清单</w:t>
            </w:r>
          </w:p>
        </w:tc>
      </w:tr>
      <w:tr>
        <w:tc>
          <w:tcPr>
            <w:tcW w:type="dxa" w:w="831"/>
          </w:tcPr>
          <w:p>
            <w:pPr>
              <w:pStyle w:val="null3"/>
            </w:pPr>
            <w:r>
              <w:rPr/>
              <w:t>5</w:t>
            </w:r>
          </w:p>
        </w:tc>
        <w:tc>
          <w:tcPr>
            <w:tcW w:type="dxa" w:w="2492"/>
          </w:tcPr>
          <w:p>
            <w:pPr>
              <w:pStyle w:val="null3"/>
            </w:pPr>
            <w:r>
              <w:rPr/>
              <w:t>磋商内容与要求</w:t>
            </w:r>
          </w:p>
        </w:tc>
        <w:tc>
          <w:tcPr>
            <w:tcW w:type="dxa" w:w="3322"/>
          </w:tcPr>
          <w:p>
            <w:pPr>
              <w:pStyle w:val="null3"/>
            </w:pPr>
            <w:r>
              <w:rPr/>
              <w:t>磋商内容未出现漏项；数量与要求相符；</w:t>
            </w:r>
          </w:p>
        </w:tc>
        <w:tc>
          <w:tcPr>
            <w:tcW w:type="dxa" w:w="1661"/>
          </w:tcPr>
          <w:p>
            <w:pPr>
              <w:pStyle w:val="null3"/>
            </w:pPr>
            <w:r>
              <w:rPr/>
              <w:t>服务内容及服务邀请应答表</w:t>
            </w:r>
          </w:p>
        </w:tc>
      </w:tr>
      <w:tr>
        <w:tc>
          <w:tcPr>
            <w:tcW w:type="dxa" w:w="831"/>
          </w:tcPr>
          <w:p>
            <w:pPr>
              <w:pStyle w:val="null3"/>
            </w:pPr>
            <w:r>
              <w:rPr/>
              <w:t>6</w:t>
            </w:r>
          </w:p>
        </w:tc>
        <w:tc>
          <w:tcPr>
            <w:tcW w:type="dxa" w:w="2492"/>
          </w:tcPr>
          <w:p>
            <w:pPr>
              <w:pStyle w:val="null3"/>
            </w:pPr>
            <w:r>
              <w:rPr/>
              <w:t>响应服务的技术指标</w:t>
            </w:r>
          </w:p>
        </w:tc>
        <w:tc>
          <w:tcPr>
            <w:tcW w:type="dxa" w:w="3322"/>
          </w:tcPr>
          <w:p>
            <w:pPr>
              <w:pStyle w:val="null3"/>
            </w:pPr>
            <w:r>
              <w:rPr/>
              <w:t>响应服务的技术指标无重大偏离，未造成服务档次降低或严重影响服务质量；</w:t>
            </w:r>
          </w:p>
        </w:tc>
        <w:tc>
          <w:tcPr>
            <w:tcW w:type="dxa" w:w="1661"/>
          </w:tcPr>
          <w:p>
            <w:pPr>
              <w:pStyle w:val="null3"/>
            </w:pPr>
            <w:r>
              <w:rPr/>
              <w:t>服务内容及服务邀请应答表 商务应答表</w:t>
            </w:r>
          </w:p>
        </w:tc>
      </w:tr>
      <w:tr>
        <w:tc>
          <w:tcPr>
            <w:tcW w:type="dxa" w:w="831"/>
          </w:tcPr>
          <w:p>
            <w:pPr>
              <w:pStyle w:val="null3"/>
            </w:pPr>
            <w:r>
              <w:rPr/>
              <w:t>7</w:t>
            </w:r>
          </w:p>
        </w:tc>
        <w:tc>
          <w:tcPr>
            <w:tcW w:type="dxa" w:w="2492"/>
          </w:tcPr>
          <w:p>
            <w:pPr>
              <w:pStyle w:val="null3"/>
            </w:pPr>
            <w:r>
              <w:rPr/>
              <w:t>“无效磋商”的情形及未实质性响应磋商文件的情况</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供应商承诺书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供应商业绩</w:t>
            </w:r>
          </w:p>
        </w:tc>
        <w:tc>
          <w:tcPr>
            <w:tcW w:type="dxa" w:w="2492"/>
          </w:tcPr>
          <w:p>
            <w:pPr>
              <w:pStyle w:val="null3"/>
            </w:pPr>
            <w:r>
              <w:rPr/>
              <w:t>提供供应商2021年1月1日至今的同类型项目业绩，以合同签订时间为准，每提供一份合同计2分，最高计10分。（须提供合同复印件并加盖公章，否则不计分）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w:t>
            </w:r>
          </w:p>
        </w:tc>
      </w:tr>
      <w:tr>
        <w:tc>
          <w:tcPr>
            <w:tcW w:type="dxa" w:w="831"/>
            <w:vMerge/>
          </w:tcPr>
          <w:p/>
        </w:tc>
        <w:tc>
          <w:tcPr>
            <w:tcW w:type="dxa" w:w="1661"/>
          </w:tcPr>
          <w:p>
            <w:pPr>
              <w:pStyle w:val="null3"/>
            </w:pPr>
            <w:r>
              <w:rPr/>
              <w:t>售后服务</w:t>
            </w:r>
          </w:p>
        </w:tc>
        <w:tc>
          <w:tcPr>
            <w:tcW w:type="dxa" w:w="2492"/>
          </w:tcPr>
          <w:p>
            <w:pPr>
              <w:pStyle w:val="null3"/>
            </w:pPr>
            <w:r>
              <w:rPr/>
              <w:t>供应商针对本项目提供具体可行的售后服务方案，包括但不限于后续服务方式、响应时间及方式、人员到位情况等。 a.售后服务方案全面具体、科学合理、可行性强的得8分； b.售后服务方案较为全面具体、合理性较好、较可行的得6分； c.售后服务方案基本全面、基本合理、基本可行的得4分； d.售后服务方案缺少关键点、不完善、不可行性的得2分； e.未提供售后服务方案或完全脱离项目实际的不得分。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磋商响应方案-售后服务</w:t>
            </w:r>
          </w:p>
        </w:tc>
      </w:tr>
      <w:tr>
        <w:tc>
          <w:tcPr>
            <w:tcW w:type="dxa" w:w="831"/>
            <w:vMerge/>
          </w:tcPr>
          <w:p/>
        </w:tc>
        <w:tc>
          <w:tcPr>
            <w:tcW w:type="dxa" w:w="1661"/>
          </w:tcPr>
          <w:p>
            <w:pPr>
              <w:pStyle w:val="null3"/>
            </w:pPr>
            <w:r>
              <w:rPr/>
              <w:t>服务承诺</w:t>
            </w:r>
          </w:p>
        </w:tc>
        <w:tc>
          <w:tcPr>
            <w:tcW w:type="dxa" w:w="2492"/>
          </w:tcPr>
          <w:p>
            <w:pPr>
              <w:pStyle w:val="null3"/>
            </w:pPr>
            <w:r>
              <w:rPr/>
              <w:t>供应商针对本项目提供服务承诺，包含但不限于：承诺派专人负责项目售后服务事宜，实行“三包”服务（即包质量、包数量、包调换）、处理问题及时、沟通交流渠道畅通；因存在质量问题或因质量原因发生的食品安全事故，生产企业主要负责人和相关主管人员必须到现场指导、处理；在履行本项目的全部过程中，凡出现因质量或配送运输引发的安全事故，供应商将承担全部法律责任和赔偿所有经济损失等。 a.服务承诺完整、详细，科学、合理、可行的得7分； b.服务承诺较完整、详细，具有合理性，可行性的得5分； c.服务承诺不够完整，可行性不高的计3分； d.未提供服务承诺或完全脱离项目实际的不得分。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磋商响应方案-服务承诺</w:t>
            </w:r>
          </w:p>
        </w:tc>
      </w:tr>
      <w:tr>
        <w:tc>
          <w:tcPr>
            <w:tcW w:type="dxa" w:w="831"/>
            <w:vMerge/>
          </w:tcPr>
          <w:p/>
        </w:tc>
        <w:tc>
          <w:tcPr>
            <w:tcW w:type="dxa" w:w="1661"/>
          </w:tcPr>
          <w:p>
            <w:pPr>
              <w:pStyle w:val="null3"/>
            </w:pPr>
            <w:r>
              <w:rPr/>
              <w:t>整体服务方案</w:t>
            </w:r>
          </w:p>
        </w:tc>
        <w:tc>
          <w:tcPr>
            <w:tcW w:type="dxa" w:w="2492"/>
          </w:tcPr>
          <w:p>
            <w:pPr>
              <w:pStyle w:val="null3"/>
            </w:pPr>
            <w:r>
              <w:rPr/>
              <w:t>供应商针对项目服务主要内容、服务要求、质量标准等提供整体采服务方案。 a.整体服务方案全面具体、针对性强、服务思路清晰、服务标准高、质量标准明确、可操作及可行性强、能完全满足本项目采购所需的得10分； b.整体服务方案较为全面、针对性较好、服务思路清晰、服务标准合格、质量标准明确、可操作及可行性良好、较能满足采购所需的得8分； c.整体服务方案基本全面、服务思路基本清晰、服务标准、质量标准基本可行、可操作及可行性一般、基本能满足基本采购所需的得6分； d.整体服务方案不够全面，服务思路不够清晰，服务标准、质量标准不够可行，很难满足项目采购所需的得4分； e.整体服务方案简单、无针对性，服务标准较低，可操作及可行性较差，不能满足采购所需的得2分； f.未提供整体服务方案或整体服务方案完全脱离项目实际的不得分。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磋商响应方案-整体服务方案</w:t>
            </w:r>
          </w:p>
          <w:p>
            <w:pPr>
              <w:pStyle w:val="null3"/>
            </w:pPr>
            <w:r>
              <w:rPr/>
              <w:t>供应商需要加以说明的其他内容</w:t>
            </w:r>
          </w:p>
        </w:tc>
      </w:tr>
      <w:tr>
        <w:tc>
          <w:tcPr>
            <w:tcW w:type="dxa" w:w="831"/>
            <w:vMerge/>
          </w:tcPr>
          <w:p/>
        </w:tc>
        <w:tc>
          <w:tcPr>
            <w:tcW w:type="dxa" w:w="1661"/>
          </w:tcPr>
          <w:p>
            <w:pPr>
              <w:pStyle w:val="null3"/>
            </w:pPr>
            <w:r>
              <w:rPr/>
              <w:t>管理措施及管理制度</w:t>
            </w:r>
          </w:p>
        </w:tc>
        <w:tc>
          <w:tcPr>
            <w:tcW w:type="dxa" w:w="2492"/>
          </w:tcPr>
          <w:p>
            <w:pPr>
              <w:pStyle w:val="null3"/>
            </w:pPr>
            <w:r>
              <w:rPr/>
              <w:t>供应商针对本项目拟定的各岗位管理制度、自查制度、内控制度、工作质量标准、奖惩考核机制等有明确制度和措施。 a.措施及制度完整全面、科学合理、针对性强、可操作及可行性高，完全满足采购要求的10分； b.管理措施及制度较为全面、科学合理性较好、针对性较好，可操作及可行性良好，较能满足采购所需的得8分； c.管理措施及制度基本全面、科学合理性、针对性基本可行，基本能满足采购所需的得6分； d.管理措施及制度不全面、科学合理性一般、针对性一般、可操作及可行性一般、缺少部分关键点，不能完全满足基本采购所需的得4分； e.管理措施及制度简单、无科学合理性、无针对性、可操作及可行性较差，不能满足采购所需的得2分； f.未提供管理措施及制度或管理措施及制度完全脱离采购实际的不得分。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磋商响应方案-管理措施及管理制度</w:t>
            </w:r>
          </w:p>
        </w:tc>
      </w:tr>
      <w:tr>
        <w:tc>
          <w:tcPr>
            <w:tcW w:type="dxa" w:w="831"/>
            <w:vMerge/>
          </w:tcPr>
          <w:p/>
        </w:tc>
        <w:tc>
          <w:tcPr>
            <w:tcW w:type="dxa" w:w="1661"/>
          </w:tcPr>
          <w:p>
            <w:pPr>
              <w:pStyle w:val="null3"/>
            </w:pPr>
            <w:r>
              <w:rPr/>
              <w:t>储存场地</w:t>
            </w:r>
          </w:p>
        </w:tc>
        <w:tc>
          <w:tcPr>
            <w:tcW w:type="dxa" w:w="2492"/>
          </w:tcPr>
          <w:p>
            <w:pPr>
              <w:pStyle w:val="null3"/>
            </w:pPr>
            <w:r>
              <w:rPr/>
              <w:t>供应商具有专门销售的店面或储存场地，符合相应的技术标准和环保、安全要求并提供场地的证明材料。 a.场地规范化、条件良好、卫生整洁，场地证明资料充分的计6分； b.场地基本规范、标准，卫生较整洁，证明材料基本齐全的计4分； c.场地不规范、现场卫生差，所附资料不齐全或无证明材料计2分； d.未提供不计分。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磋商响应方案-储存场地</w:t>
            </w:r>
          </w:p>
        </w:tc>
      </w:tr>
      <w:tr>
        <w:tc>
          <w:tcPr>
            <w:tcW w:type="dxa" w:w="831"/>
            <w:vMerge/>
          </w:tcPr>
          <w:p/>
        </w:tc>
        <w:tc>
          <w:tcPr>
            <w:tcW w:type="dxa" w:w="1661"/>
          </w:tcPr>
          <w:p>
            <w:pPr>
              <w:pStyle w:val="null3"/>
            </w:pPr>
            <w:r>
              <w:rPr/>
              <w:t>人员团队</w:t>
            </w:r>
          </w:p>
        </w:tc>
        <w:tc>
          <w:tcPr>
            <w:tcW w:type="dxa" w:w="2492"/>
          </w:tcPr>
          <w:p>
            <w:pPr>
              <w:pStyle w:val="null3"/>
            </w:pPr>
            <w:r>
              <w:rPr/>
              <w:t>供应商针对拟投入本项目的团队人员配置合理、职责明确、分工清晰合理、相关人员经过严格培训、有相应的工作经验等有详细的描述和相关（包括但不限于健康证、劳动合同、从业证明、资格证书等）证明材料。 a.拟派配人员配备合理、人员数量充足、职责明确、分工清晰、工作经历丰富、能够完全满足采购所需的得6分； b.拟派人员配备基本合理、人员数量一般、职责、分工一般、缺少部分工作经历、勉强能满足基本采购所需的得4分； c.拟派人员配备不合理且有欠缺、人员数量无保证、职责、分工不明确、工作经历较少、不能够满足采购所需的得2分； d.未提供人员配备方案或完全脱离项目实际的不得分。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磋商响应方案-人员团队</w:t>
            </w:r>
          </w:p>
        </w:tc>
      </w:tr>
      <w:tr>
        <w:tc>
          <w:tcPr>
            <w:tcW w:type="dxa" w:w="831"/>
            <w:vMerge/>
          </w:tcPr>
          <w:p/>
        </w:tc>
        <w:tc>
          <w:tcPr>
            <w:tcW w:type="dxa" w:w="1661"/>
          </w:tcPr>
          <w:p>
            <w:pPr>
              <w:pStyle w:val="null3"/>
            </w:pPr>
            <w:r>
              <w:rPr/>
              <w:t>配送服务方案</w:t>
            </w:r>
          </w:p>
        </w:tc>
        <w:tc>
          <w:tcPr>
            <w:tcW w:type="dxa" w:w="2492"/>
          </w:tcPr>
          <w:p>
            <w:pPr>
              <w:pStyle w:val="null3"/>
            </w:pPr>
            <w:r>
              <w:rPr/>
              <w:t>供应商提供针对本项目的配送服务方案（包括但不限于配送方案、配送车辆类型、数量、用途、配置说明、保温保鲜、灭菌、防腐措施等）。 a.配送方案思路清晰，涵盖内容全面，配送车辆及配置说明完全符合要求，证明材料充分的得10分； b.配送方案思路较清晰，涵盖内容较全面，配备车辆及配置说明较能符合要求，车辆证明材料较详细的得8分； c.配送方案思路基本清晰，配送方案内容基本全面，配备车辆及说明基本符合要求，车辆证明材料基本满足的得6分； d.配送方案思路极不够清晰，内容有缺失，配备车辆说明简单、材料不充分的得4分； e.配送方案简单笼统，配送车辆信息不清晰，不明确，证明材料简单的得2分； f.未提供配送方案或配送方案完全脱离项目实际需求的不得分。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磋商响应方案-配送服务方案</w:t>
            </w:r>
          </w:p>
        </w:tc>
      </w:tr>
      <w:tr>
        <w:tc>
          <w:tcPr>
            <w:tcW w:type="dxa" w:w="831"/>
            <w:vMerge/>
          </w:tcPr>
          <w:p/>
        </w:tc>
        <w:tc>
          <w:tcPr>
            <w:tcW w:type="dxa" w:w="1661"/>
          </w:tcPr>
          <w:p>
            <w:pPr>
              <w:pStyle w:val="null3"/>
            </w:pPr>
            <w:r>
              <w:rPr/>
              <w:t>产品渠道</w:t>
            </w:r>
          </w:p>
        </w:tc>
        <w:tc>
          <w:tcPr>
            <w:tcW w:type="dxa" w:w="2492"/>
          </w:tcPr>
          <w:p>
            <w:pPr>
              <w:pStyle w:val="null3"/>
            </w:pPr>
            <w:r>
              <w:rPr/>
              <w:t>产品供应渠道正常、稳定且质量有保证，检验手续合法有效，符合国家质量标准和食品卫生安全要求，确保食品安全，并提供相关证明材料。 a.质量可靠有保障，证明材料齐全，符合采购要求的得8分； b.质量基本有保障，证明材料基本完整但不充足的得6分； c.质量无具体保障，证明材料简单不足的得4分； d.未提供产品渠道或产品渠道证明脱离实际的不得分。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磋商响应方案-产品渠道</w:t>
            </w:r>
          </w:p>
        </w:tc>
      </w:tr>
      <w:tr>
        <w:tc>
          <w:tcPr>
            <w:tcW w:type="dxa" w:w="831"/>
            <w:vMerge/>
          </w:tcPr>
          <w:p/>
        </w:tc>
        <w:tc>
          <w:tcPr>
            <w:tcW w:type="dxa" w:w="1661"/>
          </w:tcPr>
          <w:p>
            <w:pPr>
              <w:pStyle w:val="null3"/>
            </w:pPr>
            <w:r>
              <w:rPr/>
              <w:t>质量保证措施</w:t>
            </w:r>
          </w:p>
        </w:tc>
        <w:tc>
          <w:tcPr>
            <w:tcW w:type="dxa" w:w="2492"/>
          </w:tcPr>
          <w:p>
            <w:pPr>
              <w:pStyle w:val="null3"/>
            </w:pPr>
            <w:r>
              <w:rPr/>
              <w:t>供应商须完善可行的质量保障措施，确保食材从采购、仓储、配送等环节的卫生性、新鲜度，确保食材质量。 a.质量保证措施涵盖全面，针对性强，科学可行的得5分； b.质量保证措施基本全面，针对性一般的得3分； c.质量保证措施简单、针对性不强的得1分； d.未提供质量保证措施或质量保证措施脱离实际的不得分。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磋商响应方案-质量保证措施</w:t>
            </w:r>
          </w:p>
        </w:tc>
      </w:tr>
      <w:tr>
        <w:tc>
          <w:tcPr>
            <w:tcW w:type="dxa" w:w="831"/>
            <w:vMerge/>
          </w:tcPr>
          <w:p/>
        </w:tc>
        <w:tc>
          <w:tcPr>
            <w:tcW w:type="dxa" w:w="1661"/>
          </w:tcPr>
          <w:p>
            <w:pPr>
              <w:pStyle w:val="null3"/>
            </w:pPr>
            <w:r>
              <w:rPr/>
              <w:t>应急预案</w:t>
            </w:r>
          </w:p>
        </w:tc>
        <w:tc>
          <w:tcPr>
            <w:tcW w:type="dxa" w:w="2492"/>
          </w:tcPr>
          <w:p>
            <w:pPr>
              <w:pStyle w:val="null3"/>
            </w:pPr>
            <w:r>
              <w:rPr/>
              <w:t>供应商针对本项目提供具体可行的应急预案，包括但不限于供应商为满足学校临时需求，能够提供包括临时安排人员、车辆、确保食材品质和及时送达验收使用、市场供求变化、天气、车辆故障等突发事件、重大节假日或活动等特殊情况制定的应急处理方案等。 a.应急预案完备健全，科学性强、合理性强、可行性强的计10分； b.应急预案较为完备健全，方案具有一定科学性、合理性较好、基本可行性的得8分； c.应急预案完备程度一般，方案合理性一般、可行性低或需要优化后才能基本满足项目需要的计6分； d.应急预案不完整，措施简单，无针对性，不能满足项目需求计3分； e.未提供应急措施或应急措施完全脱离项目实际的不得分。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供应商需要加以说明的其他内容</w:t>
            </w:r>
          </w:p>
          <w:p>
            <w:pPr>
              <w:pStyle w:val="null3"/>
            </w:pPr>
            <w:r>
              <w:rPr/>
              <w:t>磋商响应方案-应急预案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采用低价（即：1-优惠率）优先法计算，即满足磋商文件要求且磋商报价（1-优惠率）最低的磋商报价为评标基准价，其价格分为满分。其他供应商的价格分统一按照下列公式计算： 磋商报价得分=评标基准价/（1-优惠率）×10 当评审小组认为某个供应商的报价明显低于其他通过符合性审查供应商的报价，有可能影响服务质量和不能诚信履约的，应要求该供应商在开标现场合理的时间内提供书面说明，必要时提交相关证明材料；供应商不能证明其报价合理的，评审小组会将其作为无效文件处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详见附件：服务内容及服务邀请应答表</w:t>
      </w:r>
    </w:p>
    <w:p>
      <w:pPr>
        <w:pStyle w:val="null3"/>
        <w:ind w:firstLine="960"/>
      </w:pPr>
      <w:r>
        <w:rPr/>
        <w:t>详见附件：供应商资格证明文件</w:t>
      </w:r>
    </w:p>
    <w:p>
      <w:pPr>
        <w:pStyle w:val="null3"/>
        <w:ind w:firstLine="960"/>
      </w:pPr>
      <w:r>
        <w:rPr/>
        <w:t>详见附件：供应商身份证明</w:t>
      </w:r>
    </w:p>
    <w:p>
      <w:pPr>
        <w:pStyle w:val="null3"/>
        <w:ind w:firstLine="960"/>
      </w:pPr>
      <w:r>
        <w:rPr/>
        <w:t>详见附件：供应商业绩</w:t>
      </w:r>
    </w:p>
    <w:p>
      <w:pPr>
        <w:pStyle w:val="null3"/>
        <w:ind w:firstLine="960"/>
      </w:pPr>
      <w:r>
        <w:rPr/>
        <w:t>详见附件：磋商响应方案-售后服务</w:t>
      </w:r>
    </w:p>
    <w:p>
      <w:pPr>
        <w:pStyle w:val="null3"/>
        <w:ind w:firstLine="960"/>
      </w:pPr>
      <w:r>
        <w:rPr/>
        <w:t>详见附件：磋商响应方案-服务承诺</w:t>
      </w:r>
    </w:p>
    <w:p>
      <w:pPr>
        <w:pStyle w:val="null3"/>
        <w:ind w:firstLine="960"/>
      </w:pPr>
      <w:r>
        <w:rPr/>
        <w:t>详见附件：磋商响应方案-整体服务方案</w:t>
      </w:r>
    </w:p>
    <w:p>
      <w:pPr>
        <w:pStyle w:val="null3"/>
        <w:ind w:firstLine="960"/>
      </w:pPr>
      <w:r>
        <w:rPr/>
        <w:t>详见附件：磋商响应方案-管理措施及管理制度</w:t>
      </w:r>
    </w:p>
    <w:p>
      <w:pPr>
        <w:pStyle w:val="null3"/>
        <w:ind w:firstLine="960"/>
      </w:pPr>
      <w:r>
        <w:rPr/>
        <w:t>详见附件：磋商响应方案-储存场地</w:t>
      </w:r>
    </w:p>
    <w:p>
      <w:pPr>
        <w:pStyle w:val="null3"/>
        <w:ind w:firstLine="960"/>
      </w:pPr>
      <w:r>
        <w:rPr/>
        <w:t>详见附件：磋商响应方案-人员团队</w:t>
      </w:r>
    </w:p>
    <w:p>
      <w:pPr>
        <w:pStyle w:val="null3"/>
        <w:ind w:firstLine="960"/>
      </w:pPr>
      <w:r>
        <w:rPr/>
        <w:t>详见附件：磋商响应方案-配送服务方案</w:t>
      </w:r>
    </w:p>
    <w:p>
      <w:pPr>
        <w:pStyle w:val="null3"/>
        <w:ind w:firstLine="960"/>
      </w:pPr>
      <w:r>
        <w:rPr/>
        <w:t>详见附件：磋商响应方案-产品渠道</w:t>
      </w:r>
    </w:p>
    <w:p>
      <w:pPr>
        <w:pStyle w:val="null3"/>
        <w:ind w:firstLine="960"/>
      </w:pPr>
      <w:r>
        <w:rPr/>
        <w:t>详见附件：磋商响应方案-质量保证措施</w:t>
      </w:r>
    </w:p>
    <w:p>
      <w:pPr>
        <w:pStyle w:val="null3"/>
        <w:ind w:firstLine="960"/>
      </w:pPr>
      <w:r>
        <w:rPr/>
        <w:t>详见附件：磋商响应方案-应急预案</w:t>
      </w:r>
    </w:p>
    <w:p>
      <w:pPr>
        <w:pStyle w:val="null3"/>
        <w:ind w:firstLine="960"/>
      </w:pPr>
      <w:r>
        <w:rPr/>
        <w:t>详见附件：供应商需要加以说明的其他内容</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