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ind w:firstLine="120" w:firstLineChars="50"/>
        <w:jc w:val="both"/>
        <w:rPr>
          <w:rFonts w:ascii="宋体" w:hAnsi="宋体"/>
          <w:b/>
          <w:color w:val="auto"/>
          <w:sz w:val="24"/>
        </w:rPr>
      </w:pPr>
      <w:r>
        <w:rPr>
          <w:rFonts w:hint="eastAsia" w:ascii="宋体" w:hAnsi="宋体"/>
          <w:b/>
          <w:color w:val="auto"/>
          <w:sz w:val="24"/>
          <w:lang w:val="en-US" w:eastAsia="zh-CN"/>
        </w:rPr>
        <w:t>1、</w:t>
      </w:r>
      <w:r>
        <w:rPr>
          <w:rFonts w:hint="eastAsia" w:ascii="宋体" w:hAnsi="宋体"/>
          <w:b/>
          <w:color w:val="auto"/>
          <w:sz w:val="24"/>
        </w:rPr>
        <w:t>政府采购信用担保及信用融资政策</w:t>
      </w:r>
    </w:p>
    <w:p>
      <w:pPr>
        <w:spacing w:line="360" w:lineRule="auto"/>
        <w:ind w:firstLine="480" w:firstLineChars="200"/>
        <w:rPr>
          <w:rFonts w:hint="eastAsia" w:ascii="宋体" w:hAnsi="宋体"/>
          <w:color w:val="auto"/>
          <w:sz w:val="24"/>
        </w:rPr>
      </w:pPr>
      <w:r>
        <w:rPr>
          <w:rFonts w:hint="eastAsia" w:ascii="宋体" w:hAnsi="宋体"/>
          <w:color w:val="auto"/>
          <w:sz w:val="24"/>
        </w:rPr>
        <w:t>为支持和促进中小企业发展，进一步发挥政府采购政策功能作用，根据《财政部关于开展政府采购信用担保试点工作的通知》（财库〔2011〕124号）和《陕西省政府采购信用担保试点工作实施方案（试行）》，西安市财政局制定了《西安市政府采购信用担保及信用融资工作实施方案（试行）》（市财发〔2014〕167），《陕西省财政厅关于加快推进我省中小企业政府采购信用融资工作的通知》（陕财办采[2020]15号），为参与西安市政府采购项目的</w:t>
      </w:r>
      <w:r>
        <w:rPr>
          <w:rFonts w:hint="eastAsia" w:ascii="宋体" w:hAnsi="宋体"/>
          <w:color w:val="auto"/>
          <w:sz w:val="24"/>
          <w:lang w:eastAsia="zh-CN"/>
        </w:rPr>
        <w:t>投标人</w:t>
      </w:r>
      <w:r>
        <w:rPr>
          <w:rFonts w:hint="eastAsia" w:ascii="宋体" w:hAnsi="宋体"/>
          <w:color w:val="auto"/>
          <w:sz w:val="24"/>
        </w:rPr>
        <w:t>提供政府采购信用担保和融资服务，并按照程序确定了合作的担保机构和商业银行。</w:t>
      </w:r>
    </w:p>
    <w:p>
      <w:pPr>
        <w:spacing w:line="360" w:lineRule="auto"/>
        <w:ind w:firstLine="480" w:firstLineChars="200"/>
        <w:rPr>
          <w:rFonts w:hint="eastAsia" w:ascii="宋体" w:hAnsi="宋体"/>
          <w:color w:val="auto"/>
          <w:sz w:val="24"/>
        </w:rPr>
      </w:pPr>
      <w:r>
        <w:rPr>
          <w:rFonts w:hint="eastAsia" w:ascii="宋体" w:hAnsi="宋体"/>
          <w:color w:val="auto"/>
          <w:sz w:val="24"/>
          <w:lang w:val="en-US" w:eastAsia="zh-CN"/>
        </w:rPr>
        <w:t>中标</w:t>
      </w:r>
      <w:r>
        <w:rPr>
          <w:rFonts w:hint="eastAsia" w:ascii="宋体" w:hAnsi="宋体"/>
          <w:color w:val="auto"/>
          <w:sz w:val="24"/>
          <w:lang w:eastAsia="zh-CN"/>
        </w:rPr>
        <w:t>人</w:t>
      </w:r>
      <w:r>
        <w:rPr>
          <w:rFonts w:hint="eastAsia" w:ascii="宋体" w:hAnsi="宋体"/>
          <w:color w:val="auto"/>
          <w:sz w:val="24"/>
        </w:rPr>
        <w:t>缴纳履约保证金时可自愿选择通过担保机构保函的形式缴纳；</w:t>
      </w:r>
      <w:r>
        <w:rPr>
          <w:rFonts w:hint="eastAsia" w:ascii="宋体" w:hAnsi="宋体"/>
          <w:color w:val="auto"/>
          <w:sz w:val="24"/>
          <w:lang w:val="en-US" w:eastAsia="zh-CN"/>
        </w:rPr>
        <w:t>中标人</w:t>
      </w:r>
      <w:r>
        <w:rPr>
          <w:rFonts w:hint="eastAsia" w:ascii="宋体" w:hAnsi="宋体"/>
          <w:color w:val="auto"/>
          <w:sz w:val="24"/>
        </w:rPr>
        <w:t>如果需要融资贷款服务的，可凭</w:t>
      </w:r>
      <w:r>
        <w:rPr>
          <w:rFonts w:hint="eastAsia" w:ascii="宋体" w:hAnsi="宋体"/>
          <w:color w:val="auto"/>
          <w:sz w:val="24"/>
          <w:lang w:eastAsia="zh-CN"/>
        </w:rPr>
        <w:t>中标通知书</w:t>
      </w:r>
      <w:r>
        <w:rPr>
          <w:rFonts w:hint="eastAsia" w:ascii="宋体" w:hAnsi="宋体"/>
          <w:color w:val="auto"/>
          <w:sz w:val="24"/>
        </w:rPr>
        <w:t>、政府采购合同等相关资料，按照实施方案规定的程序申请办理，具体规定可登陆西安市财政局网站(http://xaczj.xa.gov.cn/)政府采购专栏中查询了解。</w:t>
      </w:r>
    </w:p>
    <w:p>
      <w:pPr>
        <w:spacing w:line="360" w:lineRule="auto"/>
        <w:rPr>
          <w:rFonts w:hint="eastAsia" w:ascii="宋体" w:hAnsi="宋体"/>
          <w:color w:val="auto"/>
          <w:sz w:val="24"/>
        </w:rPr>
      </w:pPr>
      <w:bookmarkStart w:id="0" w:name="_GoBack"/>
      <w:bookmarkEnd w:id="0"/>
    </w:p>
    <w:tbl>
      <w:tblPr>
        <w:tblStyle w:val="6"/>
        <w:tblW w:w="9555" w:type="dxa"/>
        <w:tblInd w:w="-4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5"/>
        <w:gridCol w:w="1675"/>
        <w:gridCol w:w="1680"/>
        <w:gridCol w:w="1260"/>
        <w:gridCol w:w="1155"/>
        <w:gridCol w:w="2110"/>
        <w:gridCol w:w="10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5" w:hRule="atLeast"/>
        </w:trPr>
        <w:tc>
          <w:tcPr>
            <w:tcW w:w="9555" w:type="dxa"/>
            <w:gridSpan w:val="7"/>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b/>
                <w:bCs/>
                <w:color w:val="auto"/>
                <w:kern w:val="0"/>
                <w:sz w:val="32"/>
                <w:szCs w:val="32"/>
              </w:rPr>
              <w:t>西安市政府采购信用担保及信用融资合作机构联系名单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b/>
                <w:bCs/>
                <w:color w:val="auto"/>
                <w:kern w:val="0"/>
                <w:sz w:val="24"/>
              </w:rPr>
            </w:pPr>
            <w:r>
              <w:rPr>
                <w:rFonts w:hint="eastAsia" w:ascii="宋体" w:hAnsi="宋体" w:cs="宋体"/>
                <w:b/>
                <w:bCs/>
                <w:color w:val="auto"/>
                <w:kern w:val="0"/>
                <w:sz w:val="24"/>
              </w:rPr>
              <w:t>序号</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b/>
                <w:bCs/>
                <w:color w:val="auto"/>
                <w:kern w:val="0"/>
                <w:sz w:val="24"/>
              </w:rPr>
            </w:pPr>
            <w:r>
              <w:rPr>
                <w:rFonts w:hint="eastAsia" w:ascii="宋体" w:hAnsi="宋体" w:cs="宋体"/>
                <w:b/>
                <w:bCs/>
                <w:color w:val="auto"/>
                <w:kern w:val="0"/>
                <w:sz w:val="24"/>
              </w:rPr>
              <w:t>合作单位名称</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b/>
                <w:bCs/>
                <w:color w:val="auto"/>
                <w:kern w:val="0"/>
                <w:sz w:val="24"/>
              </w:rPr>
            </w:pPr>
            <w:r>
              <w:rPr>
                <w:rFonts w:hint="eastAsia" w:ascii="宋体" w:hAnsi="宋体" w:cs="宋体"/>
                <w:b/>
                <w:bCs/>
                <w:color w:val="auto"/>
                <w:kern w:val="0"/>
                <w:sz w:val="24"/>
              </w:rPr>
              <w:t>主办单位名称</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b/>
                <w:bCs/>
                <w:color w:val="auto"/>
                <w:kern w:val="0"/>
                <w:sz w:val="24"/>
              </w:rPr>
            </w:pPr>
            <w:r>
              <w:rPr>
                <w:rFonts w:hint="eastAsia" w:ascii="宋体" w:hAnsi="宋体" w:cs="宋体"/>
                <w:b/>
                <w:bCs/>
                <w:color w:val="auto"/>
                <w:kern w:val="0"/>
                <w:sz w:val="24"/>
              </w:rPr>
              <w:t>联系部门</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b/>
                <w:bCs/>
                <w:color w:val="auto"/>
                <w:kern w:val="0"/>
                <w:sz w:val="24"/>
              </w:rPr>
            </w:pPr>
            <w:r>
              <w:rPr>
                <w:rFonts w:hint="eastAsia" w:ascii="宋体" w:hAnsi="宋体" w:cs="宋体"/>
                <w:b/>
                <w:bCs/>
                <w:color w:val="auto"/>
                <w:kern w:val="0"/>
                <w:sz w:val="24"/>
              </w:rPr>
              <w:t>联系</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b/>
                <w:bCs/>
                <w:color w:val="auto"/>
                <w:kern w:val="0"/>
                <w:sz w:val="24"/>
              </w:rPr>
            </w:pPr>
            <w:r>
              <w:rPr>
                <w:rFonts w:hint="eastAsia" w:ascii="宋体" w:hAnsi="宋体" w:cs="宋体"/>
                <w:b/>
                <w:bCs/>
                <w:color w:val="auto"/>
                <w:kern w:val="0"/>
                <w:sz w:val="24"/>
              </w:rPr>
              <w:t>人员</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b/>
                <w:bCs/>
                <w:color w:val="auto"/>
                <w:kern w:val="0"/>
                <w:sz w:val="24"/>
              </w:rPr>
            </w:pPr>
            <w:r>
              <w:rPr>
                <w:rFonts w:hint="eastAsia" w:ascii="宋体" w:hAnsi="宋体" w:cs="宋体"/>
                <w:b/>
                <w:bCs/>
                <w:color w:val="auto"/>
                <w:kern w:val="0"/>
                <w:sz w:val="24"/>
              </w:rPr>
              <w:t>联系电话</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b/>
                <w:bCs/>
                <w:color w:val="auto"/>
                <w:kern w:val="0"/>
                <w:sz w:val="24"/>
              </w:rPr>
            </w:pPr>
            <w:r>
              <w:rPr>
                <w:rFonts w:hint="eastAsia" w:ascii="宋体" w:hAnsi="宋体" w:cs="宋体"/>
                <w:b/>
                <w:bCs/>
                <w:color w:val="auto"/>
                <w:kern w:val="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1</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西安投融资担保有限公司</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西安投融资担保有限公司</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业务四部</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王蓉</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汪晓宇</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88480371 13110423743</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88489590 13629260305</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信用</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担保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2</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中国银行股份有限公司</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陕西省分行</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中国银行西安二环世纪星支行</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公司业务部</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 xml:space="preserve">胡涛 </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叶楚沙</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88360743 18629048822</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88360749 13772153612</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信用</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融资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3</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中国建设银行股份有限公司</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陕西省分行</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建设银行西安市南大街支行</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公司部</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杨向晖</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87281468</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13379229383</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信用</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融资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4</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中国工商银行股份有限公司</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陕西省分行营业部</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工商银行陕西分行营业部</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小企业金融业务部</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牛国群</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张航</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87609569 18992851811</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87609761 13891883334</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信用</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融资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5</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中国农业银行股份有限公司</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陕西省分行营业部</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农业银行西安西大街支行</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公司业务部</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贾珊</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高雅</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87617245 13891957123</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87613444 13659192425</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信用</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融资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6</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交通银行股份有限公司</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陕西省分行</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交通银行西安西五路支行</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个人贷款中心</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李卫公</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雷强</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87297632 13991290525</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87272444 18629362690</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信用</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融资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7</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招商银行股份有限公司</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西安分行</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招商银行西安未央路支行</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公司银行部</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杨皓</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马秦香</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62811553 15002905553</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62811553 13609183259</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信用</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融资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8</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中国民生银行股份有限公司</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西安分行</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民生银行西安分行</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城建金融部</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李楠</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88266088-8450</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13572058213</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信用</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融资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9</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中国光大银行股份有限公司</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西安分行</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光大银行经济技术开发区支行</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对公客户经理部</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高艺瑄</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15619006186</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信用</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融资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10</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昆仑银行股份有限公司</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西安分行</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昆仑银行西安分行</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机构投行部</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韩天清</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86978975</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15609108028</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信用</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融资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11</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平安银行股份有限公司</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西安分行</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平安银行西安分行</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业务发展七部</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祝捷</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王尧</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18629505188</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18591767577</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信用</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融资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12</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北京银行股份有限公司</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西安分行</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北京银行西安分行</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营业部</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范诗阳</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曹英</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13991945764</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18691892195</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信用</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融资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trPr>
        <w:tc>
          <w:tcPr>
            <w:tcW w:w="63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13</w:t>
            </w:r>
          </w:p>
        </w:tc>
        <w:tc>
          <w:tcPr>
            <w:tcW w:w="167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兴业银行股份有限公司</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西安分行</w:t>
            </w:r>
          </w:p>
        </w:tc>
        <w:tc>
          <w:tcPr>
            <w:tcW w:w="168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兴业银行西安分行</w:t>
            </w:r>
          </w:p>
        </w:tc>
        <w:tc>
          <w:tcPr>
            <w:tcW w:w="126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新城业务总部</w:t>
            </w:r>
          </w:p>
        </w:tc>
        <w:tc>
          <w:tcPr>
            <w:tcW w:w="1155"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徐常磊</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鲁旸</w:t>
            </w:r>
          </w:p>
        </w:tc>
        <w:tc>
          <w:tcPr>
            <w:tcW w:w="211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hint="eastAsia" w:ascii="宋体" w:hAnsi="宋体" w:cs="宋体"/>
                <w:color w:val="auto"/>
                <w:kern w:val="0"/>
                <w:sz w:val="24"/>
              </w:rPr>
            </w:pPr>
            <w:r>
              <w:rPr>
                <w:rFonts w:hint="eastAsia" w:ascii="宋体" w:hAnsi="宋体" w:cs="宋体"/>
                <w:color w:val="auto"/>
                <w:kern w:val="0"/>
                <w:sz w:val="24"/>
              </w:rPr>
              <w:t>15991623666</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15389081886</w:t>
            </w:r>
          </w:p>
        </w:tc>
        <w:tc>
          <w:tcPr>
            <w:tcW w:w="1040" w:type="dxa"/>
            <w:noWrap w:val="0"/>
            <w:vAlign w:val="center"/>
          </w:tcPr>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信用</w:t>
            </w:r>
          </w:p>
          <w:p>
            <w:pPr>
              <w:keepNext w:val="0"/>
              <w:keepLines w:val="0"/>
              <w:pageBreakBefore w:val="0"/>
              <w:widowControl/>
              <w:kinsoku/>
              <w:wordWrap/>
              <w:overflowPunct/>
              <w:topLinePunct w:val="0"/>
              <w:autoSpaceDE/>
              <w:autoSpaceDN/>
              <w:bidi w:val="0"/>
              <w:adjustRightInd/>
              <w:snapToGrid/>
              <w:spacing w:line="440" w:lineRule="exact"/>
              <w:jc w:val="center"/>
              <w:textAlignment w:val="auto"/>
              <w:rPr>
                <w:rFonts w:ascii="宋体" w:hAnsi="宋体" w:cs="宋体"/>
                <w:color w:val="auto"/>
                <w:kern w:val="0"/>
                <w:sz w:val="24"/>
              </w:rPr>
            </w:pPr>
            <w:r>
              <w:rPr>
                <w:rFonts w:hint="eastAsia" w:ascii="宋体" w:hAnsi="宋体" w:cs="宋体"/>
                <w:color w:val="auto"/>
                <w:kern w:val="0"/>
                <w:sz w:val="24"/>
              </w:rPr>
              <w:t>融资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9555" w:type="dxa"/>
            <w:gridSpan w:val="7"/>
            <w:noWrap w:val="0"/>
            <w:vAlign w:val="center"/>
          </w:tcPr>
          <w:p>
            <w:pPr>
              <w:keepNext w:val="0"/>
              <w:keepLines w:val="0"/>
              <w:pageBreakBefore w:val="0"/>
              <w:widowControl/>
              <w:kinsoku/>
              <w:wordWrap/>
              <w:overflowPunct/>
              <w:topLinePunct w:val="0"/>
              <w:autoSpaceDE/>
              <w:autoSpaceDN/>
              <w:bidi w:val="0"/>
              <w:adjustRightInd/>
              <w:snapToGrid/>
              <w:spacing w:line="440" w:lineRule="exact"/>
              <w:ind w:firstLine="480" w:firstLineChars="200"/>
              <w:jc w:val="left"/>
              <w:textAlignment w:val="auto"/>
              <w:rPr>
                <w:rFonts w:ascii="宋体" w:hAnsi="宋体"/>
                <w:color w:val="auto"/>
                <w:sz w:val="24"/>
              </w:rPr>
            </w:pPr>
            <w:r>
              <w:rPr>
                <w:rFonts w:hint="eastAsia" w:ascii="宋体" w:hAnsi="宋体"/>
                <w:color w:val="auto"/>
                <w:sz w:val="24"/>
              </w:rPr>
              <w:t>注：本项工作依据西安市财政局门户网站“政府采购”专栏中《西安市政府采购信用担保及融资工作实施方案（试行）》（市财发[2014]167号）组织开展，本表信息如有变动，请信息报送单位在发生变更之日起3个工作日内向西安市财政局备案，否则责任自负。</w:t>
            </w:r>
          </w:p>
        </w:tc>
      </w:tr>
    </w:tbl>
    <w:p>
      <w:pPr>
        <w:keepNext w:val="0"/>
        <w:keepLines w:val="0"/>
        <w:pageBreakBefore w:val="0"/>
        <w:widowControl/>
        <w:suppressLineNumbers w:val="0"/>
        <w:kinsoku/>
        <w:wordWrap/>
        <w:overflowPunct/>
        <w:topLinePunct w:val="0"/>
        <w:autoSpaceDE/>
        <w:autoSpaceDN/>
        <w:bidi w:val="0"/>
        <w:adjustRightInd/>
        <w:snapToGrid/>
        <w:spacing w:line="500" w:lineRule="exact"/>
        <w:jc w:val="left"/>
        <w:textAlignment w:val="auto"/>
        <w:rPr>
          <w:color w:val="auto"/>
          <w:highlight w:val="none"/>
        </w:rPr>
      </w:pPr>
      <w:r>
        <w:rPr>
          <w:rFonts w:hint="eastAsia" w:ascii="宋体" w:hAnsi="宋体"/>
          <w:b/>
          <w:color w:val="auto"/>
          <w:sz w:val="24"/>
          <w:highlight w:val="none"/>
          <w:lang w:val="en-US" w:eastAsia="zh-CN"/>
        </w:rPr>
        <w:t>2</w:t>
      </w:r>
      <w:r>
        <w:rPr>
          <w:rFonts w:ascii="宋体" w:hAnsi="宋体"/>
          <w:b/>
          <w:color w:val="auto"/>
          <w:sz w:val="24"/>
          <w:highlight w:val="none"/>
        </w:rPr>
        <w:t>、</w:t>
      </w:r>
      <w:r>
        <w:rPr>
          <w:rFonts w:hint="eastAsia" w:ascii="宋体" w:hAnsi="宋体" w:eastAsia="宋体" w:cs="宋体"/>
          <w:b/>
          <w:bCs/>
          <w:color w:val="auto"/>
          <w:kern w:val="0"/>
          <w:sz w:val="24"/>
          <w:szCs w:val="24"/>
          <w:highlight w:val="none"/>
          <w:lang w:val="en-US" w:eastAsia="zh-CN" w:bidi="ar"/>
        </w:rPr>
        <w:t>关于进一步做好政采贷工作的通知</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（1）“政采贷”业务介绍 </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政采贷,即政府采购供应商信用融资,是指银行以政府采购供应商信用审和政府采购信誉为基础,依托政府采购合同，按优于一般企业的贷款程序和利率，直接向申请贷款的供应商发放无财产抵押贷款的一种融资方式。（陕西政府采购供应商信用融资 </w:t>
      </w:r>
    </w:p>
    <w:p>
      <w:pPr>
        <w:keepNext w:val="0"/>
        <w:keepLines w:val="0"/>
        <w:pageBreakBefore w:val="0"/>
        <w:widowControl/>
        <w:suppressLineNumbers w:val="0"/>
        <w:kinsoku/>
        <w:wordWrap/>
        <w:overflowPunct/>
        <w:topLinePunct w:val="0"/>
        <w:autoSpaceDE/>
        <w:autoSpaceDN/>
        <w:bidi w:val="0"/>
        <w:adjustRightInd/>
        <w:snapToGrid/>
        <w:spacing w:line="500" w:lineRule="exact"/>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信息服务平台网址为：http://www.ccgp-shaanxi.gov.cn/zcdservice/zcd/shanxi/） </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（2）“政采贷”流程 </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(一)有融资需求的供应商可根据陕西省政府采购网公示的银行及其“政采贷”产品, </w:t>
      </w:r>
    </w:p>
    <w:p>
      <w:pPr>
        <w:keepNext w:val="0"/>
        <w:keepLines w:val="0"/>
        <w:pageBreakBefore w:val="0"/>
        <w:widowControl/>
        <w:suppressLineNumbers w:val="0"/>
        <w:kinsoku/>
        <w:wordWrap/>
        <w:overflowPunct/>
        <w:topLinePunct w:val="0"/>
        <w:autoSpaceDE/>
        <w:autoSpaceDN/>
        <w:bidi w:val="0"/>
        <w:adjustRightInd/>
        <w:snapToGrid/>
        <w:spacing w:line="500" w:lineRule="exact"/>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自行选择符合自身情况的“政采贷”银行及其产品,凭中标(成交)通知书向银行提出贷款意向申请。 </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(二)银行根据供应商的贷款意向申请,及时对供应商开展信用审查以及开设账户等相关工作。 </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(三)供应商与采购人签订政府采购合同后,向银行提出正式申请。拟用于“政采贷”的政府采购合同,应当在合同中注明贷款银行的名称和账号,并作为本次采购的唯一 </w:t>
      </w:r>
    </w:p>
    <w:p>
      <w:pPr>
        <w:keepNext w:val="0"/>
        <w:keepLines w:val="0"/>
        <w:pageBreakBefore w:val="0"/>
        <w:widowControl/>
        <w:suppressLineNumbers w:val="0"/>
        <w:kinsoku/>
        <w:wordWrap/>
        <w:overflowPunct/>
        <w:topLinePunct w:val="0"/>
        <w:autoSpaceDE/>
        <w:autoSpaceDN/>
        <w:bidi w:val="0"/>
        <w:adjustRightInd/>
        <w:snapToGrid/>
        <w:spacing w:line="500" w:lineRule="exact"/>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收款账号。 </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(四)银行按规定对供应商资格及其提供的政府采购合同等信息进行审查,审查通过后按照公示的服务承诺事项及时放款。 </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(五)在资金支付时,采购人应当将采购资金支付到政府采购合同注明的贷款银行和账号中,不得支付到政府采购合同约定以外的账号,以保障贷款资金安全回收。 </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（3）职责要求 </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（一）各单位要积极推动“政采贷”工作开展，应当在合同签订后 2 个工作日内将政府采购合同在陕西省政府采购网进行公示，为金融机构核实合同提供信息。对于已融资采购项目，供应商履约完成后，要及时开展履约验收工作，并按照合同约定支付采购资金，不得无故拖延和拒付。 </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（二）各单位和采购代理机构在组织实施政府采购活动中，应当将“政采贷”业务 </w:t>
      </w:r>
    </w:p>
    <w:p>
      <w:pPr>
        <w:keepNext w:val="0"/>
        <w:keepLines w:val="0"/>
        <w:pageBreakBefore w:val="0"/>
        <w:widowControl/>
        <w:suppressLineNumbers w:val="0"/>
        <w:kinsoku/>
        <w:wordWrap/>
        <w:overflowPunct/>
        <w:topLinePunct w:val="0"/>
        <w:autoSpaceDE/>
        <w:autoSpaceDN/>
        <w:bidi w:val="0"/>
        <w:adjustRightInd/>
        <w:snapToGrid/>
        <w:spacing w:line="500" w:lineRule="exact"/>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介绍、陕西政府采购供应商信用融资信息服务平台操作手册和银行联系方式（见附件） </w:t>
      </w:r>
    </w:p>
    <w:p>
      <w:pPr>
        <w:keepNext w:val="0"/>
        <w:keepLines w:val="0"/>
        <w:pageBreakBefore w:val="0"/>
        <w:widowControl/>
        <w:suppressLineNumbers w:val="0"/>
        <w:kinsoku/>
        <w:wordWrap/>
        <w:overflowPunct/>
        <w:topLinePunct w:val="0"/>
        <w:autoSpaceDE/>
        <w:autoSpaceDN/>
        <w:bidi w:val="0"/>
        <w:adjustRightInd/>
        <w:snapToGrid/>
        <w:spacing w:line="500" w:lineRule="exact"/>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在采购文件中载明，并随中标（成交）通知书一并发放。 </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（三）供应商应当依法参加政府采购活动，公平竞争，诚实守信，严格按照政府采 </w:t>
      </w:r>
    </w:p>
    <w:p>
      <w:pPr>
        <w:keepNext w:val="0"/>
        <w:keepLines w:val="0"/>
        <w:pageBreakBefore w:val="0"/>
        <w:widowControl/>
        <w:suppressLineNumbers w:val="0"/>
        <w:kinsoku/>
        <w:wordWrap/>
        <w:overflowPunct/>
        <w:topLinePunct w:val="0"/>
        <w:autoSpaceDE/>
        <w:autoSpaceDN/>
        <w:bidi w:val="0"/>
        <w:adjustRightInd/>
        <w:snapToGrid/>
        <w:spacing w:line="500" w:lineRule="exact"/>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购合同履约，严格按照借款合同偿还债务。</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480" w:firstLineChars="2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附件∶1.“政采贷”业务介绍 </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1200" w:firstLineChars="5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2.陕西政府采购供应商信用融资信息服务平台操作手册 </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1200" w:firstLineChars="500"/>
        <w:jc w:val="left"/>
        <w:textAlignment w:val="auto"/>
        <w:rPr>
          <w:color w:val="auto"/>
          <w:highlight w:val="none"/>
        </w:rPr>
        <w:sectPr>
          <w:headerReference r:id="rId5" w:type="default"/>
          <w:pgSz w:w="11906" w:h="16838"/>
          <w:pgMar w:top="1418" w:right="1418" w:bottom="1418" w:left="1418" w:header="851" w:footer="992" w:gutter="0"/>
          <w:pgBorders>
            <w:top w:val="none" w:sz="0" w:space="0"/>
            <w:left w:val="none" w:sz="0" w:space="0"/>
            <w:bottom w:val="none" w:sz="0" w:space="0"/>
            <w:right w:val="none" w:sz="0" w:space="0"/>
          </w:pgBorders>
          <w:pgNumType w:fmt="decimal" w:start="1"/>
          <w:cols w:space="720" w:num="1"/>
          <w:docGrid w:type="lines" w:linePitch="312" w:charSpace="0"/>
        </w:sectPr>
      </w:pPr>
      <w:r>
        <w:rPr>
          <w:rFonts w:hint="eastAsia" w:ascii="宋体" w:hAnsi="宋体" w:eastAsia="宋体" w:cs="宋体"/>
          <w:color w:val="auto"/>
          <w:kern w:val="0"/>
          <w:sz w:val="24"/>
          <w:szCs w:val="24"/>
          <w:highlight w:val="none"/>
          <w:lang w:val="en-US" w:eastAsia="zh-CN" w:bidi="ar"/>
        </w:rPr>
        <w:t>3.长安区开展政采贷业务银行联系方式</w:t>
      </w:r>
    </w:p>
    <w:p>
      <w:pPr>
        <w:keepNext w:val="0"/>
        <w:keepLines w:val="0"/>
        <w:widowControl/>
        <w:suppressLineNumbers w:val="0"/>
        <w:spacing w:line="360" w:lineRule="auto"/>
        <w:jc w:val="left"/>
        <w:rPr>
          <w:b/>
          <w:bCs/>
          <w:color w:val="auto"/>
          <w:highlight w:val="none"/>
        </w:rPr>
      </w:pPr>
      <w:r>
        <w:rPr>
          <w:rFonts w:hint="eastAsia" w:ascii="宋体" w:hAnsi="宋体" w:eastAsia="宋体" w:cs="宋体"/>
          <w:b/>
          <w:bCs/>
          <w:color w:val="auto"/>
          <w:kern w:val="0"/>
          <w:sz w:val="28"/>
          <w:szCs w:val="28"/>
          <w:highlight w:val="none"/>
          <w:lang w:val="en-US" w:eastAsia="zh-CN" w:bidi="ar"/>
        </w:rPr>
        <w:t xml:space="preserve">附件 1 </w:t>
      </w:r>
    </w:p>
    <w:p>
      <w:pPr>
        <w:keepNext w:val="0"/>
        <w:keepLines w:val="0"/>
        <w:pageBreakBefore w:val="0"/>
        <w:widowControl/>
        <w:suppressLineNumbers w:val="0"/>
        <w:kinsoku/>
        <w:wordWrap/>
        <w:overflowPunct/>
        <w:topLinePunct w:val="0"/>
        <w:autoSpaceDE/>
        <w:autoSpaceDN/>
        <w:bidi w:val="0"/>
        <w:adjustRightInd/>
        <w:snapToGrid/>
        <w:spacing w:line="500" w:lineRule="exact"/>
        <w:jc w:val="center"/>
        <w:textAlignment w:val="auto"/>
        <w:rPr>
          <w:color w:val="auto"/>
          <w:highlight w:val="none"/>
        </w:rPr>
      </w:pPr>
      <w:r>
        <w:rPr>
          <w:rFonts w:hint="eastAsia" w:ascii="宋体" w:hAnsi="宋体" w:eastAsia="宋体" w:cs="宋体"/>
          <w:b/>
          <w:bCs/>
          <w:color w:val="auto"/>
          <w:kern w:val="0"/>
          <w:sz w:val="31"/>
          <w:szCs w:val="31"/>
          <w:highlight w:val="none"/>
          <w:lang w:val="en-US" w:eastAsia="zh-CN" w:bidi="ar"/>
        </w:rPr>
        <w:t>“政采贷”业务介绍</w:t>
      </w:r>
    </w:p>
    <w:p>
      <w:pPr>
        <w:keepNext w:val="0"/>
        <w:keepLines w:val="0"/>
        <w:pageBreakBefore w:val="0"/>
        <w:widowControl/>
        <w:suppressLineNumbers w:val="0"/>
        <w:kinsoku/>
        <w:wordWrap/>
        <w:overflowPunct/>
        <w:topLinePunct w:val="0"/>
        <w:autoSpaceDE/>
        <w:autoSpaceDN/>
        <w:bidi w:val="0"/>
        <w:adjustRightInd/>
        <w:snapToGrid/>
        <w:spacing w:line="500" w:lineRule="exact"/>
        <w:ind w:firstLine="240" w:firstLineChars="100"/>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政采贷，即政府采购合同融资，是银行机构以政府采购诚信考核和信用审查为 </w:t>
      </w:r>
    </w:p>
    <w:p>
      <w:pPr>
        <w:keepNext w:val="0"/>
        <w:keepLines w:val="0"/>
        <w:pageBreakBefore w:val="0"/>
        <w:widowControl/>
        <w:suppressLineNumbers w:val="0"/>
        <w:kinsoku/>
        <w:wordWrap/>
        <w:overflowPunct/>
        <w:topLinePunct w:val="0"/>
        <w:autoSpaceDE/>
        <w:autoSpaceDN/>
        <w:bidi w:val="0"/>
        <w:adjustRightInd/>
        <w:snapToGrid/>
        <w:spacing w:line="500" w:lineRule="exact"/>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基础，凭借中小企业取得并提供的政府采购合同，按优于一般中小企业贷款的利率 </w:t>
      </w:r>
    </w:p>
    <w:p>
      <w:pPr>
        <w:keepNext w:val="0"/>
        <w:keepLines w:val="0"/>
        <w:pageBreakBefore w:val="0"/>
        <w:widowControl/>
        <w:suppressLineNumbers w:val="0"/>
        <w:kinsoku/>
        <w:wordWrap/>
        <w:overflowPunct/>
        <w:topLinePunct w:val="0"/>
        <w:autoSpaceDE/>
        <w:autoSpaceDN/>
        <w:bidi w:val="0"/>
        <w:adjustRightInd/>
        <w:snapToGrid/>
        <w:spacing w:line="500" w:lineRule="exact"/>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直接向申请贷款的中小企业发放贷款的一种新融资方式。政府采购贷特点政采贷以 </w:t>
      </w:r>
    </w:p>
    <w:p>
      <w:pPr>
        <w:keepNext w:val="0"/>
        <w:keepLines w:val="0"/>
        <w:pageBreakBefore w:val="0"/>
        <w:widowControl/>
        <w:suppressLineNumbers w:val="0"/>
        <w:kinsoku/>
        <w:wordWrap/>
        <w:overflowPunct/>
        <w:topLinePunct w:val="0"/>
        <w:autoSpaceDE/>
        <w:autoSpaceDN/>
        <w:bidi w:val="0"/>
        <w:adjustRightInd/>
        <w:snapToGrid/>
        <w:spacing w:line="500" w:lineRule="exact"/>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 xml:space="preserve">中小企业的政府采购信用和国库集中支付作为履约保障的政府采购合同为基础，借 </w:t>
      </w:r>
    </w:p>
    <w:p>
      <w:pPr>
        <w:keepNext w:val="0"/>
        <w:keepLines w:val="0"/>
        <w:pageBreakBefore w:val="0"/>
        <w:widowControl/>
        <w:suppressLineNumbers w:val="0"/>
        <w:kinsoku/>
        <w:wordWrap/>
        <w:overflowPunct/>
        <w:topLinePunct w:val="0"/>
        <w:autoSpaceDE/>
        <w:autoSpaceDN/>
        <w:bidi w:val="0"/>
        <w:adjustRightInd/>
        <w:snapToGrid/>
        <w:spacing w:line="500" w:lineRule="exact"/>
        <w:jc w:val="left"/>
        <w:textAlignment w:val="auto"/>
        <w:rPr>
          <w:color w:val="auto"/>
          <w:highlight w:val="none"/>
        </w:rPr>
      </w:pPr>
      <w:r>
        <w:rPr>
          <w:rFonts w:hint="eastAsia" w:ascii="宋体" w:hAnsi="宋体" w:eastAsia="宋体" w:cs="宋体"/>
          <w:color w:val="auto"/>
          <w:kern w:val="0"/>
          <w:sz w:val="24"/>
          <w:szCs w:val="24"/>
          <w:highlight w:val="none"/>
          <w:lang w:val="en-US" w:eastAsia="zh-CN" w:bidi="ar"/>
        </w:rPr>
        <w:t>力政府采购诚信保障，提供了银企对接的机会和相关的服务支持。</w:t>
      </w:r>
    </w:p>
    <w:p>
      <w:pPr>
        <w:pStyle w:val="4"/>
        <w:rPr>
          <w:color w:val="auto"/>
        </w:rPr>
        <w:sectPr>
          <w:pgSz w:w="11906" w:h="16838"/>
          <w:pgMar w:top="1418" w:right="1418" w:bottom="1418" w:left="1418"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keepNext w:val="0"/>
        <w:keepLines w:val="0"/>
        <w:widowControl/>
        <w:suppressLineNumbers w:val="0"/>
        <w:spacing w:line="360" w:lineRule="auto"/>
        <w:jc w:val="left"/>
        <w:rPr>
          <w:rFonts w:hint="eastAsia" w:ascii="宋体" w:hAnsi="宋体" w:eastAsia="宋体" w:cs="宋体"/>
          <w:b/>
          <w:bCs/>
          <w:color w:val="auto"/>
          <w:kern w:val="0"/>
          <w:sz w:val="28"/>
          <w:szCs w:val="28"/>
          <w:highlight w:val="none"/>
          <w:lang w:val="en-US" w:eastAsia="zh-CN" w:bidi="ar"/>
        </w:rPr>
      </w:pPr>
      <w:r>
        <w:rPr>
          <w:rFonts w:hint="eastAsia" w:ascii="宋体" w:hAnsi="宋体" w:eastAsia="宋体" w:cs="宋体"/>
          <w:b/>
          <w:bCs/>
          <w:color w:val="auto"/>
          <w:kern w:val="0"/>
          <w:sz w:val="28"/>
          <w:szCs w:val="28"/>
          <w:highlight w:val="none"/>
          <w:lang w:val="en-US" w:eastAsia="zh-CN" w:bidi="ar"/>
        </w:rPr>
        <w:t>附件2</w:t>
      </w:r>
    </w:p>
    <w:p>
      <w:pPr>
        <w:keepNext w:val="0"/>
        <w:keepLines w:val="0"/>
        <w:widowControl/>
        <w:suppressLineNumbers w:val="0"/>
        <w:spacing w:line="360" w:lineRule="auto"/>
        <w:jc w:val="center"/>
        <w:rPr>
          <w:color w:val="auto"/>
          <w:highlight w:val="none"/>
        </w:rPr>
      </w:pPr>
      <w:r>
        <w:rPr>
          <w:rFonts w:hint="eastAsia" w:ascii="宋体" w:hAnsi="宋体" w:eastAsia="宋体" w:cs="宋体"/>
          <w:b/>
          <w:bCs/>
          <w:color w:val="auto"/>
          <w:kern w:val="0"/>
          <w:sz w:val="31"/>
          <w:szCs w:val="31"/>
          <w:highlight w:val="none"/>
          <w:lang w:val="en-US" w:eastAsia="zh-CN" w:bidi="ar"/>
        </w:rPr>
        <w:t>陕西政府采购供应商信用融资信息服务平台操作手册</w:t>
      </w:r>
    </w:p>
    <w:p>
      <w:pPr>
        <w:keepNext w:val="0"/>
        <w:keepLines w:val="0"/>
        <w:widowControl/>
        <w:suppressLineNumbers w:val="0"/>
        <w:ind w:firstLine="480" w:firstLineChars="200"/>
        <w:jc w:val="left"/>
        <w:rPr>
          <w:color w:val="auto"/>
        </w:rPr>
      </w:pPr>
      <w:r>
        <w:rPr>
          <w:rFonts w:hint="eastAsia" w:ascii="宋体" w:hAnsi="宋体" w:eastAsia="宋体" w:cs="宋体"/>
          <w:color w:val="auto"/>
          <w:kern w:val="0"/>
          <w:sz w:val="24"/>
          <w:szCs w:val="24"/>
          <w:lang w:val="en-US" w:eastAsia="zh-CN" w:bidi="ar"/>
        </w:rPr>
        <w:t xml:space="preserve">陕西政府采购供应商信用融资信息服务平台主要功能为：供应商凭中标项目或成交 </w:t>
      </w:r>
    </w:p>
    <w:p>
      <w:pPr>
        <w:keepNext w:val="0"/>
        <w:keepLines w:val="0"/>
        <w:widowControl/>
        <w:suppressLineNumbers w:val="0"/>
        <w:jc w:val="left"/>
        <w:rPr>
          <w:color w:val="auto"/>
        </w:rPr>
      </w:pPr>
      <w:r>
        <w:rPr>
          <w:rFonts w:hint="eastAsia" w:ascii="宋体" w:hAnsi="宋体" w:eastAsia="宋体" w:cs="宋体"/>
          <w:color w:val="auto"/>
          <w:kern w:val="0"/>
          <w:sz w:val="24"/>
          <w:szCs w:val="24"/>
          <w:lang w:val="en-US" w:eastAsia="zh-CN" w:bidi="ar"/>
        </w:rPr>
        <w:t xml:space="preserve">合提交融资意向，查看融资申请进度等功能，本操作手册将详细说明这些功能。 </w:t>
      </w:r>
    </w:p>
    <w:p>
      <w:pPr>
        <w:keepNext w:val="0"/>
        <w:keepLines w:val="0"/>
        <w:widowControl/>
        <w:suppressLineNumbers w:val="0"/>
        <w:jc w:val="left"/>
        <w:rPr>
          <w:color w:val="auto"/>
        </w:rPr>
      </w:pPr>
      <w:r>
        <w:rPr>
          <w:rFonts w:hint="eastAsia" w:ascii="宋体" w:hAnsi="宋体" w:eastAsia="宋体" w:cs="宋体"/>
          <w:color w:val="auto"/>
          <w:kern w:val="0"/>
          <w:sz w:val="24"/>
          <w:szCs w:val="24"/>
          <w:lang w:val="en-US" w:eastAsia="zh-CN" w:bidi="ar"/>
        </w:rPr>
        <w:t xml:space="preserve">1.首页 </w:t>
      </w:r>
    </w:p>
    <w:p>
      <w:pPr>
        <w:keepNext w:val="0"/>
        <w:keepLines w:val="0"/>
        <w:widowControl/>
        <w:suppressLineNumbers w:val="0"/>
        <w:ind w:firstLine="240" w:firstLineChars="100"/>
        <w:jc w:val="left"/>
        <w:rPr>
          <w:color w:val="auto"/>
        </w:rPr>
      </w:pPr>
      <w:r>
        <w:rPr>
          <w:rFonts w:hint="eastAsia" w:ascii="宋体" w:hAnsi="宋体" w:eastAsia="宋体" w:cs="宋体"/>
          <w:color w:val="auto"/>
          <w:kern w:val="0"/>
          <w:sz w:val="24"/>
          <w:szCs w:val="24"/>
          <w:lang w:val="en-US" w:eastAsia="zh-CN" w:bidi="ar"/>
        </w:rPr>
        <w:t xml:space="preserve">平台首页主要呈现陕西政府采购信用融资相关政策法规、基本操作流程及供应商帮 </w:t>
      </w:r>
    </w:p>
    <w:p>
      <w:pPr>
        <w:keepNext w:val="0"/>
        <w:keepLines w:val="0"/>
        <w:widowControl/>
        <w:suppressLineNumbers w:val="0"/>
        <w:jc w:val="left"/>
        <w:rPr>
          <w:color w:val="auto"/>
        </w:rPr>
      </w:pPr>
      <w:r>
        <w:rPr>
          <w:rFonts w:hint="eastAsia" w:ascii="宋体" w:hAnsi="宋体" w:eastAsia="宋体" w:cs="宋体"/>
          <w:color w:val="auto"/>
          <w:kern w:val="0"/>
          <w:sz w:val="24"/>
          <w:szCs w:val="24"/>
          <w:lang w:val="en-US" w:eastAsia="zh-CN" w:bidi="ar"/>
        </w:rPr>
        <w:t xml:space="preserve">助内容，供应商企业可由登录注册模块登录平台。 </w:t>
      </w:r>
    </w:p>
    <w:p>
      <w:pPr>
        <w:keepNext w:val="0"/>
        <w:keepLines w:val="0"/>
        <w:widowControl/>
        <w:suppressLineNumbers w:val="0"/>
        <w:jc w:val="left"/>
        <w:rPr>
          <w:color w:val="auto"/>
        </w:rPr>
      </w:pPr>
      <w:r>
        <w:rPr>
          <w:rFonts w:hint="eastAsia" w:ascii="宋体" w:hAnsi="宋体" w:eastAsia="宋体" w:cs="宋体"/>
          <w:color w:val="auto"/>
          <w:kern w:val="0"/>
          <w:sz w:val="24"/>
          <w:szCs w:val="24"/>
          <w:lang w:val="en-US" w:eastAsia="zh-CN" w:bidi="ar"/>
        </w:rPr>
        <w:t xml:space="preserve">2.登录 </w:t>
      </w:r>
    </w:p>
    <w:p>
      <w:pPr>
        <w:keepNext w:val="0"/>
        <w:keepLines w:val="0"/>
        <w:widowControl/>
        <w:suppressLineNumbers w:val="0"/>
        <w:ind w:firstLine="240" w:firstLineChars="100"/>
        <w:jc w:val="left"/>
        <w:rPr>
          <w:color w:val="auto"/>
        </w:rPr>
      </w:pPr>
      <w:r>
        <w:rPr>
          <w:rFonts w:hint="eastAsia" w:ascii="宋体" w:hAnsi="宋体" w:eastAsia="宋体" w:cs="宋体"/>
          <w:color w:val="auto"/>
          <w:kern w:val="0"/>
          <w:sz w:val="24"/>
          <w:szCs w:val="24"/>
          <w:lang w:val="en-US" w:eastAsia="zh-CN" w:bidi="ar"/>
        </w:rPr>
        <w:t xml:space="preserve">陕西政府采购网的中标企业可用手机号注册用户，注册时需要填写企业名称及社会 </w:t>
      </w:r>
    </w:p>
    <w:p>
      <w:pPr>
        <w:keepNext w:val="0"/>
        <w:keepLines w:val="0"/>
        <w:widowControl/>
        <w:suppressLineNumbers w:val="0"/>
        <w:jc w:val="left"/>
        <w:rPr>
          <w:color w:val="auto"/>
        </w:rPr>
      </w:pPr>
      <w:r>
        <w:rPr>
          <w:rFonts w:hint="eastAsia" w:ascii="宋体" w:hAnsi="宋体" w:eastAsia="宋体" w:cs="宋体"/>
          <w:color w:val="auto"/>
          <w:kern w:val="0"/>
          <w:sz w:val="24"/>
          <w:szCs w:val="24"/>
          <w:lang w:val="en-US" w:eastAsia="zh-CN" w:bidi="ar"/>
        </w:rPr>
        <w:t xml:space="preserve">统一信用代码等信息，如下图： </w:t>
      </w:r>
    </w:p>
    <w:p>
      <w:pPr>
        <w:keepNext w:val="0"/>
        <w:keepLines w:val="0"/>
        <w:widowControl/>
        <w:suppressLineNumbers w:val="0"/>
        <w:jc w:val="left"/>
        <w:rPr>
          <w:rFonts w:hint="eastAsia" w:ascii="宋体" w:hAnsi="宋体" w:eastAsia="宋体" w:cs="宋体"/>
          <w:color w:val="auto"/>
          <w:kern w:val="0"/>
          <w:sz w:val="24"/>
          <w:szCs w:val="24"/>
          <w:lang w:val="en-US" w:eastAsia="zh-CN" w:bidi="ar"/>
        </w:rPr>
      </w:pPr>
      <w:r>
        <w:rPr>
          <w:color w:val="auto"/>
        </w:rPr>
        <w:drawing>
          <wp:inline distT="0" distB="0" distL="114300" distR="114300">
            <wp:extent cx="5589905" cy="2684145"/>
            <wp:effectExtent l="0" t="0" r="16510" b="762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7"/>
                    <a:stretch>
                      <a:fillRect/>
                    </a:stretch>
                  </pic:blipFill>
                  <pic:spPr>
                    <a:xfrm>
                      <a:off x="0" y="0"/>
                      <a:ext cx="5589905" cy="2684145"/>
                    </a:xfrm>
                    <a:prstGeom prst="rect">
                      <a:avLst/>
                    </a:prstGeom>
                    <a:noFill/>
                    <a:ln>
                      <a:noFill/>
                    </a:ln>
                  </pic:spPr>
                </pic:pic>
              </a:graphicData>
            </a:graphic>
          </wp:inline>
        </w:drawing>
      </w:r>
    </w:p>
    <w:p>
      <w:pPr>
        <w:keepNext w:val="0"/>
        <w:keepLines w:val="0"/>
        <w:widowControl/>
        <w:suppressLineNumbers w:val="0"/>
        <w:jc w:val="left"/>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注册成功后，凭手机登录平台，如下图，点击首页：</w:t>
      </w:r>
    </w:p>
    <w:p>
      <w:pPr>
        <w:rPr>
          <w:color w:val="auto"/>
        </w:rPr>
      </w:pPr>
      <w:r>
        <w:rPr>
          <w:color w:val="auto"/>
        </w:rPr>
        <w:drawing>
          <wp:inline distT="0" distB="0" distL="114300" distR="114300">
            <wp:extent cx="5634355" cy="2595880"/>
            <wp:effectExtent l="0" t="0" r="6350" b="10160"/>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8"/>
                    <a:stretch>
                      <a:fillRect/>
                    </a:stretch>
                  </pic:blipFill>
                  <pic:spPr>
                    <a:xfrm>
                      <a:off x="0" y="0"/>
                      <a:ext cx="5634355" cy="2595880"/>
                    </a:xfrm>
                    <a:prstGeom prst="rect">
                      <a:avLst/>
                    </a:prstGeom>
                    <a:noFill/>
                    <a:ln>
                      <a:noFill/>
                    </a:ln>
                  </pic:spPr>
                </pic:pic>
              </a:graphicData>
            </a:graphic>
          </wp:inline>
        </w:drawing>
      </w:r>
    </w:p>
    <w:p>
      <w:pPr>
        <w:keepNext w:val="0"/>
        <w:keepLines w:val="0"/>
        <w:widowControl/>
        <w:suppressLineNumbers w:val="0"/>
        <w:jc w:val="left"/>
        <w:rPr>
          <w:color w:val="auto"/>
        </w:rPr>
      </w:pPr>
      <w:r>
        <w:rPr>
          <w:rFonts w:hint="eastAsia" w:ascii="宋体" w:hAnsi="宋体" w:eastAsia="宋体" w:cs="宋体"/>
          <w:color w:val="auto"/>
          <w:kern w:val="0"/>
          <w:sz w:val="24"/>
          <w:szCs w:val="24"/>
          <w:lang w:val="en-US" w:eastAsia="zh-CN" w:bidi="ar"/>
        </w:rPr>
        <w:t>3.点击“可融资项目/合同”，再点击申请贷款：</w:t>
      </w:r>
    </w:p>
    <w:p>
      <w:pPr>
        <w:pStyle w:val="4"/>
        <w:rPr>
          <w:color w:val="auto"/>
        </w:rPr>
      </w:pPr>
      <w:r>
        <w:rPr>
          <w:color w:val="auto"/>
        </w:rPr>
        <w:drawing>
          <wp:anchor distT="0" distB="0" distL="114300" distR="114300" simplePos="0" relativeHeight="251659264" behindDoc="0" locked="0" layoutInCell="1" allowOverlap="1">
            <wp:simplePos x="0" y="0"/>
            <wp:positionH relativeFrom="column">
              <wp:posOffset>0</wp:posOffset>
            </wp:positionH>
            <wp:positionV relativeFrom="paragraph">
              <wp:posOffset>71755</wp:posOffset>
            </wp:positionV>
            <wp:extent cx="5755005" cy="3241675"/>
            <wp:effectExtent l="0" t="0" r="5715" b="15875"/>
            <wp:wrapSquare wrapText="bothSides"/>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9"/>
                    <a:stretch>
                      <a:fillRect/>
                    </a:stretch>
                  </pic:blipFill>
                  <pic:spPr>
                    <a:xfrm>
                      <a:off x="0" y="0"/>
                      <a:ext cx="5755005" cy="3241675"/>
                    </a:xfrm>
                    <a:prstGeom prst="rect">
                      <a:avLst/>
                    </a:prstGeom>
                    <a:noFill/>
                    <a:ln>
                      <a:noFill/>
                    </a:ln>
                  </pic:spPr>
                </pic:pic>
              </a:graphicData>
            </a:graphic>
          </wp:anchor>
        </w:drawing>
      </w:r>
    </w:p>
    <w:p>
      <w:pPr>
        <w:keepNext w:val="0"/>
        <w:keepLines w:val="0"/>
        <w:widowControl/>
        <w:suppressLineNumbers w:val="0"/>
        <w:jc w:val="left"/>
        <w:rPr>
          <w:color w:val="auto"/>
        </w:rPr>
      </w:pPr>
      <w:r>
        <w:rPr>
          <w:rFonts w:hint="eastAsia" w:ascii="宋体" w:hAnsi="宋体" w:eastAsia="宋体" w:cs="宋体"/>
          <w:color w:val="auto"/>
          <w:kern w:val="0"/>
          <w:sz w:val="24"/>
          <w:szCs w:val="24"/>
          <w:lang w:val="en-US" w:eastAsia="zh-CN" w:bidi="ar"/>
        </w:rPr>
        <w:t>4.勾选融资意向书：</w:t>
      </w:r>
    </w:p>
    <w:p>
      <w:pPr>
        <w:pStyle w:val="4"/>
        <w:rPr>
          <w:color w:val="auto"/>
        </w:rPr>
      </w:pPr>
    </w:p>
    <w:p>
      <w:pPr>
        <w:rPr>
          <w:color w:val="auto"/>
        </w:rPr>
        <w:sectPr>
          <w:pgSz w:w="11906" w:h="16838"/>
          <w:pgMar w:top="1418" w:right="1418" w:bottom="1418" w:left="1418" w:header="851" w:footer="992" w:gutter="0"/>
          <w:pgBorders>
            <w:top w:val="none" w:sz="0" w:space="0"/>
            <w:left w:val="none" w:sz="0" w:space="0"/>
            <w:bottom w:val="none" w:sz="0" w:space="0"/>
            <w:right w:val="none" w:sz="0" w:space="0"/>
          </w:pgBorders>
          <w:pgNumType w:fmt="decimal"/>
          <w:cols w:space="720" w:num="1"/>
          <w:docGrid w:type="lines" w:linePitch="312" w:charSpace="0"/>
        </w:sectPr>
      </w:pPr>
      <w:r>
        <w:rPr>
          <w:color w:val="auto"/>
        </w:rPr>
        <w:drawing>
          <wp:inline distT="0" distB="0" distL="114300" distR="114300">
            <wp:extent cx="5754370" cy="3310255"/>
            <wp:effectExtent l="0" t="0" r="6350" b="1587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0"/>
                    <a:stretch>
                      <a:fillRect/>
                    </a:stretch>
                  </pic:blipFill>
                  <pic:spPr>
                    <a:xfrm>
                      <a:off x="0" y="0"/>
                      <a:ext cx="5754370" cy="3310255"/>
                    </a:xfrm>
                    <a:prstGeom prst="rect">
                      <a:avLst/>
                    </a:prstGeom>
                    <a:noFill/>
                    <a:ln>
                      <a:noFill/>
                    </a:ln>
                  </pic:spPr>
                </pic:pic>
              </a:graphicData>
            </a:graphic>
          </wp:inline>
        </w:drawing>
      </w:r>
    </w:p>
    <w:p>
      <w:pPr>
        <w:keepNext w:val="0"/>
        <w:keepLines w:val="0"/>
        <w:widowControl/>
        <w:suppressLineNumbers w:val="0"/>
        <w:jc w:val="left"/>
        <w:rPr>
          <w:color w:val="auto"/>
        </w:rPr>
      </w:pPr>
      <w:r>
        <w:rPr>
          <w:rFonts w:hint="eastAsia" w:ascii="宋体" w:hAnsi="宋体" w:eastAsia="宋体" w:cs="宋体"/>
          <w:color w:val="auto"/>
          <w:kern w:val="0"/>
          <w:sz w:val="24"/>
          <w:szCs w:val="24"/>
          <w:lang w:val="en-US" w:eastAsia="zh-CN" w:bidi="ar"/>
        </w:rPr>
        <w:t xml:space="preserve">5.页面下拉，输入贷款金额、预计用款周期、可接受利率、贷款资金用途，点击保 </w:t>
      </w:r>
    </w:p>
    <w:p>
      <w:pPr>
        <w:keepNext w:val="0"/>
        <w:keepLines w:val="0"/>
        <w:widowControl/>
        <w:suppressLineNumbers w:val="0"/>
        <w:jc w:val="left"/>
        <w:rPr>
          <w:color w:val="auto"/>
        </w:rPr>
      </w:pPr>
      <w:r>
        <w:rPr>
          <w:rFonts w:hint="eastAsia" w:ascii="宋体" w:hAnsi="宋体" w:eastAsia="宋体" w:cs="宋体"/>
          <w:color w:val="auto"/>
          <w:kern w:val="0"/>
          <w:sz w:val="24"/>
          <w:szCs w:val="24"/>
          <w:lang w:val="en-US" w:eastAsia="zh-CN" w:bidi="ar"/>
        </w:rPr>
        <w:t>存，选择办理贷款机构所在地，例如：长安区韦曲街道，然后点击下一步。</w:t>
      </w:r>
    </w:p>
    <w:p>
      <w:pPr>
        <w:rPr>
          <w:color w:val="auto"/>
        </w:rPr>
      </w:pPr>
      <w:r>
        <w:rPr>
          <w:color w:val="auto"/>
        </w:rPr>
        <w:drawing>
          <wp:anchor distT="0" distB="0" distL="114300" distR="114300" simplePos="0" relativeHeight="251660288" behindDoc="0" locked="0" layoutInCell="1" allowOverlap="1">
            <wp:simplePos x="0" y="0"/>
            <wp:positionH relativeFrom="column">
              <wp:posOffset>-26035</wp:posOffset>
            </wp:positionH>
            <wp:positionV relativeFrom="paragraph">
              <wp:posOffset>86360</wp:posOffset>
            </wp:positionV>
            <wp:extent cx="5755640" cy="3253105"/>
            <wp:effectExtent l="0" t="0" r="5080" b="4445"/>
            <wp:wrapSquare wrapText="bothSides"/>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5755640" cy="3253105"/>
                    </a:xfrm>
                    <a:prstGeom prst="rect">
                      <a:avLst/>
                    </a:prstGeom>
                    <a:noFill/>
                    <a:ln>
                      <a:noFill/>
                    </a:ln>
                  </pic:spPr>
                </pic:pic>
              </a:graphicData>
            </a:graphic>
          </wp:anchor>
        </w:drawing>
      </w:r>
    </w:p>
    <w:p>
      <w:pPr>
        <w:keepNext w:val="0"/>
        <w:keepLines w:val="0"/>
        <w:widowControl/>
        <w:suppressLineNumbers w:val="0"/>
        <w:jc w:val="left"/>
        <w:rPr>
          <w:color w:val="auto"/>
        </w:rPr>
      </w:pPr>
      <w:r>
        <w:rPr>
          <w:rFonts w:hint="eastAsia" w:ascii="宋体" w:hAnsi="宋体" w:eastAsia="宋体" w:cs="宋体"/>
          <w:color w:val="auto"/>
          <w:kern w:val="0"/>
          <w:sz w:val="24"/>
          <w:szCs w:val="24"/>
          <w:lang w:val="en-US" w:eastAsia="zh-CN" w:bidi="ar"/>
        </w:rPr>
        <w:t>6.在意向银行列点击提交贷款意向并确定∶</w:t>
      </w:r>
    </w:p>
    <w:p>
      <w:pPr>
        <w:rPr>
          <w:color w:val="auto"/>
        </w:rPr>
      </w:pPr>
    </w:p>
    <w:p>
      <w:pPr>
        <w:rPr>
          <w:color w:val="auto"/>
        </w:rPr>
      </w:pPr>
      <w:r>
        <w:rPr>
          <w:color w:val="auto"/>
        </w:rPr>
        <w:drawing>
          <wp:inline distT="0" distB="0" distL="114300" distR="114300">
            <wp:extent cx="5753735" cy="3241675"/>
            <wp:effectExtent l="0" t="0" r="6985" b="15875"/>
            <wp:docPr id="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pic:cNvPicPr>
                      <a:picLocks noChangeAspect="1"/>
                    </pic:cNvPicPr>
                  </pic:nvPicPr>
                  <pic:blipFill>
                    <a:blip r:embed="rId12"/>
                    <a:stretch>
                      <a:fillRect/>
                    </a:stretch>
                  </pic:blipFill>
                  <pic:spPr>
                    <a:xfrm>
                      <a:off x="0" y="0"/>
                      <a:ext cx="5753735" cy="3241675"/>
                    </a:xfrm>
                    <a:prstGeom prst="rect">
                      <a:avLst/>
                    </a:prstGeom>
                    <a:noFill/>
                    <a:ln>
                      <a:noFill/>
                    </a:ln>
                  </pic:spPr>
                </pic:pic>
              </a:graphicData>
            </a:graphic>
          </wp:inline>
        </w:drawing>
      </w:r>
    </w:p>
    <w:p>
      <w:pPr>
        <w:pStyle w:val="4"/>
        <w:rPr>
          <w:color w:val="auto"/>
        </w:rPr>
      </w:pPr>
    </w:p>
    <w:p>
      <w:pPr>
        <w:rPr>
          <w:color w:val="auto"/>
        </w:rPr>
      </w:pPr>
    </w:p>
    <w:p>
      <w:pPr>
        <w:pStyle w:val="4"/>
        <w:rPr>
          <w:color w:val="auto"/>
        </w:rPr>
        <w:sectPr>
          <w:pgSz w:w="11906" w:h="16838"/>
          <w:pgMar w:top="1418" w:right="1418" w:bottom="1418" w:left="1418"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keepNext w:val="0"/>
        <w:keepLines w:val="0"/>
        <w:widowControl/>
        <w:suppressLineNumbers w:val="0"/>
        <w:jc w:val="left"/>
        <w:rPr>
          <w:color w:val="auto"/>
        </w:rPr>
      </w:pPr>
      <w:r>
        <w:rPr>
          <w:rFonts w:hint="eastAsia" w:ascii="宋体" w:hAnsi="宋体" w:eastAsia="宋体" w:cs="宋体"/>
          <w:color w:val="auto"/>
          <w:kern w:val="0"/>
          <w:sz w:val="24"/>
          <w:szCs w:val="24"/>
          <w:lang w:val="en-US" w:eastAsia="zh-CN" w:bidi="ar"/>
        </w:rPr>
        <w:t>7. 在申请进度栏即可查看本笔融资进度∶</w:t>
      </w:r>
    </w:p>
    <w:p>
      <w:pPr>
        <w:rPr>
          <w:color w:val="auto"/>
        </w:rPr>
        <w:sectPr>
          <w:pgSz w:w="11906" w:h="16838"/>
          <w:pgMar w:top="1418" w:right="1418" w:bottom="1418" w:left="1418" w:header="851" w:footer="992" w:gutter="0"/>
          <w:pgBorders>
            <w:top w:val="none" w:sz="0" w:space="0"/>
            <w:left w:val="none" w:sz="0" w:space="0"/>
            <w:bottom w:val="none" w:sz="0" w:space="0"/>
            <w:right w:val="none" w:sz="0" w:space="0"/>
          </w:pgBorders>
          <w:pgNumType w:fmt="decimal"/>
          <w:cols w:space="720" w:num="1"/>
          <w:docGrid w:type="lines" w:linePitch="312" w:charSpace="0"/>
        </w:sectPr>
      </w:pPr>
      <w:r>
        <w:rPr>
          <w:color w:val="auto"/>
        </w:rPr>
        <w:drawing>
          <wp:inline distT="0" distB="0" distL="114300" distR="114300">
            <wp:extent cx="5755005" cy="3232785"/>
            <wp:effectExtent l="0" t="0" r="5715" b="7620"/>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3"/>
                    <a:stretch>
                      <a:fillRect/>
                    </a:stretch>
                  </pic:blipFill>
                  <pic:spPr>
                    <a:xfrm>
                      <a:off x="0" y="0"/>
                      <a:ext cx="5755005" cy="3232785"/>
                    </a:xfrm>
                    <a:prstGeom prst="rect">
                      <a:avLst/>
                    </a:prstGeom>
                    <a:noFill/>
                    <a:ln>
                      <a:noFill/>
                    </a:ln>
                  </pic:spPr>
                </pic:pic>
              </a:graphicData>
            </a:graphic>
          </wp:inline>
        </w:drawing>
      </w:r>
    </w:p>
    <w:p>
      <w:pPr>
        <w:keepNext w:val="0"/>
        <w:keepLines w:val="0"/>
        <w:widowControl/>
        <w:suppressLineNumbers w:val="0"/>
        <w:jc w:val="left"/>
        <w:rPr>
          <w:b/>
          <w:bCs/>
          <w:color w:val="auto"/>
        </w:rPr>
      </w:pPr>
      <w:r>
        <w:rPr>
          <w:rFonts w:hint="eastAsia" w:ascii="宋体" w:hAnsi="宋体" w:eastAsia="宋体" w:cs="宋体"/>
          <w:b/>
          <w:bCs/>
          <w:color w:val="auto"/>
          <w:kern w:val="0"/>
          <w:sz w:val="28"/>
          <w:szCs w:val="28"/>
          <w:lang w:val="en-US" w:eastAsia="zh-CN" w:bidi="ar"/>
        </w:rPr>
        <w:t xml:space="preserve">附件 3 </w:t>
      </w:r>
    </w:p>
    <w:p>
      <w:pPr>
        <w:rPr>
          <w:rFonts w:hint="eastAsia" w:ascii="宋体" w:hAnsi="宋体" w:eastAsia="宋体" w:cs="宋体"/>
          <w:b/>
          <w:bCs/>
          <w:color w:val="auto"/>
          <w:kern w:val="0"/>
          <w:sz w:val="28"/>
          <w:szCs w:val="28"/>
          <w:lang w:val="en-US" w:eastAsia="zh-CN" w:bidi="ar"/>
        </w:rPr>
      </w:pPr>
      <w:r>
        <w:rPr>
          <w:rFonts w:hint="eastAsia" w:ascii="宋体" w:hAnsi="宋体" w:eastAsia="宋体" w:cs="宋体"/>
          <w:b/>
          <w:bCs/>
          <w:color w:val="auto"/>
          <w:kern w:val="0"/>
          <w:sz w:val="28"/>
          <w:szCs w:val="28"/>
          <w:lang w:val="en-US" w:eastAsia="zh-CN" w:bidi="ar"/>
        </w:rPr>
        <w:t>长安区开展政采贷业务银行联系方式</w:t>
      </w:r>
    </w:p>
    <w:p>
      <w:pPr>
        <w:rPr>
          <w:b/>
          <w:bCs/>
        </w:rPr>
      </w:pPr>
      <w:r>
        <w:rPr>
          <w:color w:val="auto"/>
        </w:rPr>
        <w:drawing>
          <wp:inline distT="0" distB="0" distL="114300" distR="114300">
            <wp:extent cx="5629275" cy="4648200"/>
            <wp:effectExtent l="0" t="0" r="11430" b="1524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4"/>
                    <a:stretch>
                      <a:fillRect/>
                    </a:stretch>
                  </pic:blipFill>
                  <pic:spPr>
                    <a:xfrm>
                      <a:off x="0" y="0"/>
                      <a:ext cx="5629275" cy="464820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24" w:lineRule="auto"/>
      </w:pPr>
      <w:r>
        <w:separator/>
      </w:r>
    </w:p>
  </w:footnote>
  <w:footnote w:type="continuationSeparator" w:id="1">
    <w:p>
      <w:pPr>
        <w:spacing w:line="324"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2"/>
      </w:pBdr>
      <w:jc w:val="both"/>
      <w:rPr>
        <w:rFonts w:hint="eastAsia"/>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FlMzE3MTMyZGE4ZmVhYzViZTM1MjE0NDdiZWQ4YjkifQ=="/>
    <w:docVar w:name="KSO_WPS_MARK_KEY" w:val="10217c54-6e1e-4ca1-895b-352be06e258c"/>
  </w:docVars>
  <w:rsids>
    <w:rsidRoot w:val="6BF97B40"/>
    <w:rsid w:val="056C4D2D"/>
    <w:rsid w:val="6BF97B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24" w:lineRule="auto"/>
      <w:jc w:val="both"/>
    </w:pPr>
    <w:rPr>
      <w:rFonts w:ascii="Times New Roman" w:hAnsi="Times New Roman" w:eastAsia="宋体" w:cs="Times New Roman"/>
      <w:kern w:val="2"/>
      <w:sz w:val="21"/>
      <w:szCs w:val="24"/>
      <w:lang w:val="en-US" w:eastAsia="zh-CN" w:bidi="ar-SA"/>
    </w:rPr>
  </w:style>
  <w:style w:type="character" w:default="1" w:styleId="7">
    <w:name w:val="Default Paragraph Font"/>
    <w:semiHidden/>
    <w:qFormat/>
    <w:uiPriority w:val="0"/>
  </w:style>
  <w:style w:type="table" w:default="1" w:styleId="6">
    <w:name w:val="Normal Table"/>
    <w:semiHidden/>
    <w:uiPriority w:val="0"/>
    <w:tblPr>
      <w:tblCellMar>
        <w:top w:w="0" w:type="dxa"/>
        <w:left w:w="108" w:type="dxa"/>
        <w:bottom w:w="0" w:type="dxa"/>
        <w:right w:w="108" w:type="dxa"/>
      </w:tblCellMar>
    </w:tblPr>
  </w:style>
  <w:style w:type="paragraph" w:styleId="2">
    <w:name w:val="footer"/>
    <w:basedOn w:val="1"/>
    <w:uiPriority w:val="99"/>
    <w:pPr>
      <w:tabs>
        <w:tab w:val="center" w:pos="4153"/>
        <w:tab w:val="right" w:pos="8306"/>
      </w:tabs>
      <w:snapToGrid w:val="0"/>
      <w:jc w:val="left"/>
    </w:pPr>
    <w:rPr>
      <w:sz w:val="18"/>
      <w:szCs w:val="18"/>
    </w:rPr>
  </w:style>
  <w:style w:type="paragraph" w:styleId="3">
    <w:name w:val="header"/>
    <w:basedOn w:val="1"/>
    <w:uiPriority w:val="0"/>
    <w:pPr>
      <w:pBdr>
        <w:bottom w:val="single" w:color="auto" w:sz="6" w:space="1"/>
      </w:pBdr>
      <w:tabs>
        <w:tab w:val="center" w:pos="4153"/>
        <w:tab w:val="right" w:pos="8306"/>
      </w:tabs>
      <w:snapToGrid w:val="0"/>
      <w:spacing w:line="240" w:lineRule="auto"/>
      <w:jc w:val="center"/>
    </w:pPr>
    <w:rPr>
      <w:sz w:val="18"/>
      <w:szCs w:val="18"/>
    </w:rPr>
  </w:style>
  <w:style w:type="paragraph" w:styleId="4">
    <w:name w:val="toc 1"/>
    <w:basedOn w:val="1"/>
    <w:next w:val="1"/>
    <w:qFormat/>
    <w:uiPriority w:val="0"/>
    <w:pPr>
      <w:tabs>
        <w:tab w:val="right" w:leader="middleDot" w:pos="8760"/>
      </w:tabs>
      <w:spacing w:line="700" w:lineRule="exact"/>
    </w:pPr>
  </w:style>
  <w:style w:type="paragraph" w:styleId="5">
    <w:name w:val="Body Text 2"/>
    <w:basedOn w:val="1"/>
    <w:qFormat/>
    <w:uiPriority w:val="0"/>
    <w:pPr>
      <w:spacing w:line="480" w:lineRule="auto"/>
    </w:p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2485</Words>
  <Characters>2930</Characters>
  <Lines>0</Lines>
  <Paragraphs>0</Paragraphs>
  <TotalTime>1</TotalTime>
  <ScaleCrop>false</ScaleCrop>
  <LinksUpToDate>false</LinksUpToDate>
  <CharactersWithSpaces>2982</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2024-04-26T09:04:00Z</dcterms:created>
  <dc:creator>ANNY</dc:creator>
  <cp:lastModifiedBy>ANNY</cp:lastModifiedBy>
  <dcterms:modified xsi:type="dcterms:W3CDTF">2024-04-28T08:33:04Z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17AFA5A3569C4DB09536220E03F2E707_11</vt:lpwstr>
  </property>
</Properties>
</file>