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07022">
      <w:pPr>
        <w:pStyle w:val="6"/>
        <w:rPr>
          <w:rFonts w:hint="eastAsia" w:ascii="仿宋" w:hAnsi="仿宋" w:eastAsia="仿宋" w:cs="仿宋"/>
          <w:sz w:val="28"/>
          <w:szCs w:val="28"/>
        </w:rPr>
      </w:pPr>
      <w:r>
        <w:rPr>
          <w:rFonts w:hint="eastAsia" w:ascii="仿宋" w:hAnsi="仿宋" w:eastAsia="仿宋" w:cs="仿宋"/>
          <w:sz w:val="28"/>
          <w:szCs w:val="28"/>
        </w:rPr>
        <w:t xml:space="preserve"> 合同文本</w:t>
      </w:r>
    </w:p>
    <w:p w14:paraId="2E11EE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甲方（采购人）：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792396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rPr>
        <w:t>乙方(</w:t>
      </w:r>
      <w:r>
        <w:rPr>
          <w:rFonts w:hint="eastAsia" w:ascii="仿宋" w:hAnsi="仿宋" w:eastAsia="仿宋" w:cs="仿宋"/>
          <w:sz w:val="24"/>
          <w:szCs w:val="24"/>
          <w:lang w:val="en-US" w:eastAsia="zh-CN"/>
        </w:rPr>
        <w:t>中标人</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p>
    <w:p w14:paraId="0775E3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根据《中华人民共和国政府采购法》及实施条例、《中华人民共和国民法典》和《</w:t>
      </w:r>
      <w:r>
        <w:rPr>
          <w:rFonts w:hint="eastAsia" w:ascii="仿宋" w:hAnsi="仿宋" w:eastAsia="仿宋" w:cs="仿宋"/>
          <w:sz w:val="24"/>
          <w:szCs w:val="24"/>
          <w:lang w:val="en-US" w:eastAsia="zh-CN"/>
        </w:rPr>
        <w:t>警用装备采购项目</w:t>
      </w:r>
      <w:r>
        <w:rPr>
          <w:rFonts w:hint="eastAsia" w:ascii="仿宋" w:hAnsi="仿宋" w:eastAsia="仿宋" w:cs="仿宋"/>
          <w:sz w:val="24"/>
          <w:szCs w:val="24"/>
        </w:rPr>
        <w:t>》(项目编号:HC-FZB-2024-116)的招标文件、投标文件等有关规定，为确保甲方采购项目的顺利实施，甲、乙双方在平等自愿原则下签订本合同，并共同遵守如下条款:</w:t>
      </w:r>
    </w:p>
    <w:p w14:paraId="1E2B1D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第一条</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项目基本情况</w:t>
      </w:r>
    </w:p>
    <w:p w14:paraId="71DEAA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采购标的、规格型号、制造厂商、数量、价款</w:t>
      </w:r>
    </w:p>
    <w:p w14:paraId="25A511D5">
      <w:pPr>
        <w:spacing w:after="120"/>
        <w:jc w:val="center"/>
        <w:outlineLvl w:val="1"/>
        <w:rPr>
          <w:rFonts w:hint="eastAsia" w:ascii="仿宋" w:hAnsi="仿宋" w:eastAsia="仿宋" w:cs="仿宋"/>
          <w:b/>
          <w:sz w:val="24"/>
          <w:szCs w:val="24"/>
        </w:rPr>
      </w:pPr>
      <w:bookmarkStart w:id="0" w:name="_Toc30363"/>
      <w:bookmarkStart w:id="1" w:name="_Toc6161"/>
      <w:bookmarkStart w:id="2" w:name="_Toc18856"/>
      <w:bookmarkStart w:id="3" w:name="_Toc13024"/>
      <w:r>
        <w:rPr>
          <w:rFonts w:hint="eastAsia" w:ascii="仿宋" w:hAnsi="仿宋" w:eastAsia="仿宋" w:cs="仿宋"/>
          <w:b/>
          <w:sz w:val="24"/>
          <w:szCs w:val="24"/>
        </w:rPr>
        <w:t>供货内容一览表</w:t>
      </w:r>
      <w:bookmarkEnd w:id="0"/>
      <w:bookmarkEnd w:id="1"/>
      <w:bookmarkEnd w:id="2"/>
      <w:bookmarkEnd w:id="3"/>
    </w:p>
    <w:tbl>
      <w:tblPr>
        <w:tblStyle w:val="10"/>
        <w:tblW w:w="94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0"/>
        <w:gridCol w:w="953"/>
        <w:gridCol w:w="1475"/>
        <w:gridCol w:w="1683"/>
        <w:gridCol w:w="819"/>
        <w:gridCol w:w="730"/>
        <w:gridCol w:w="1043"/>
        <w:gridCol w:w="1206"/>
        <w:gridCol w:w="897"/>
      </w:tblGrid>
      <w:tr w14:paraId="6A67F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4" w:hRule="atLeast"/>
          <w:jc w:val="center"/>
        </w:trPr>
        <w:tc>
          <w:tcPr>
            <w:tcW w:w="670" w:type="dxa"/>
            <w:noWrap w:val="0"/>
            <w:vAlign w:val="center"/>
          </w:tcPr>
          <w:p w14:paraId="7242599C">
            <w:pPr>
              <w:spacing w:beforeLines="50" w:line="36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953" w:type="dxa"/>
            <w:noWrap w:val="0"/>
            <w:vAlign w:val="center"/>
          </w:tcPr>
          <w:p w14:paraId="2E1E465F">
            <w:pPr>
              <w:spacing w:beforeLines="50" w:line="360" w:lineRule="auto"/>
              <w:jc w:val="center"/>
              <w:rPr>
                <w:rFonts w:hint="eastAsia" w:ascii="仿宋" w:hAnsi="仿宋" w:eastAsia="仿宋" w:cs="仿宋"/>
                <w:b/>
                <w:sz w:val="24"/>
                <w:szCs w:val="24"/>
              </w:rPr>
            </w:pPr>
            <w:r>
              <w:rPr>
                <w:rFonts w:hint="eastAsia" w:ascii="仿宋" w:hAnsi="仿宋" w:eastAsia="仿宋" w:cs="仿宋"/>
                <w:b/>
                <w:sz w:val="24"/>
                <w:szCs w:val="24"/>
                <w:lang w:val="en-US" w:eastAsia="zh-CN"/>
              </w:rPr>
              <w:t>产品</w:t>
            </w:r>
            <w:r>
              <w:rPr>
                <w:rFonts w:hint="eastAsia" w:ascii="仿宋" w:hAnsi="仿宋" w:eastAsia="仿宋" w:cs="仿宋"/>
                <w:b/>
                <w:sz w:val="24"/>
                <w:szCs w:val="24"/>
              </w:rPr>
              <w:t>名称</w:t>
            </w:r>
          </w:p>
        </w:tc>
        <w:tc>
          <w:tcPr>
            <w:tcW w:w="1475" w:type="dxa"/>
            <w:tcBorders>
              <w:right w:val="single" w:color="auto" w:sz="4" w:space="0"/>
            </w:tcBorders>
            <w:noWrap w:val="0"/>
            <w:vAlign w:val="center"/>
          </w:tcPr>
          <w:p w14:paraId="604B3C46">
            <w:pPr>
              <w:pStyle w:val="7"/>
              <w:adjustRightInd w:val="0"/>
              <w:snapToGrid w:val="0"/>
              <w:ind w:left="0"/>
              <w:jc w:val="center"/>
              <w:rPr>
                <w:rFonts w:hint="eastAsia" w:ascii="仿宋" w:hAnsi="仿宋" w:eastAsia="仿宋" w:cs="仿宋"/>
                <w:sz w:val="24"/>
                <w:szCs w:val="24"/>
              </w:rPr>
            </w:pPr>
            <w:bookmarkStart w:id="4" w:name="_Toc30417"/>
            <w:bookmarkStart w:id="5" w:name="_Toc27392"/>
            <w:bookmarkStart w:id="6" w:name="_Toc21512"/>
            <w:bookmarkStart w:id="7" w:name="_Toc16506"/>
            <w:bookmarkStart w:id="8" w:name="_Toc24445"/>
            <w:r>
              <w:rPr>
                <w:rFonts w:hint="eastAsia" w:ascii="仿宋" w:hAnsi="仿宋" w:eastAsia="仿宋" w:cs="仿宋"/>
                <w:sz w:val="24"/>
                <w:szCs w:val="24"/>
              </w:rPr>
              <w:t>品牌、规格及型号</w:t>
            </w:r>
            <w:bookmarkEnd w:id="4"/>
            <w:bookmarkEnd w:id="5"/>
            <w:bookmarkEnd w:id="6"/>
            <w:bookmarkEnd w:id="7"/>
            <w:bookmarkEnd w:id="8"/>
          </w:p>
        </w:tc>
        <w:tc>
          <w:tcPr>
            <w:tcW w:w="1683" w:type="dxa"/>
            <w:tcBorders>
              <w:left w:val="single" w:color="auto" w:sz="4" w:space="0"/>
            </w:tcBorders>
            <w:noWrap w:val="0"/>
            <w:vAlign w:val="center"/>
          </w:tcPr>
          <w:p w14:paraId="2299A68E">
            <w:pPr>
              <w:pStyle w:val="7"/>
              <w:adjustRightInd w:val="0"/>
              <w:snapToGrid w:val="0"/>
              <w:ind w:left="0"/>
              <w:jc w:val="center"/>
              <w:rPr>
                <w:rFonts w:hint="eastAsia" w:ascii="仿宋" w:hAnsi="仿宋" w:eastAsia="仿宋" w:cs="仿宋"/>
                <w:sz w:val="24"/>
                <w:szCs w:val="24"/>
                <w:highlight w:val="yellow"/>
              </w:rPr>
            </w:pPr>
            <w:bookmarkStart w:id="9" w:name="_Toc8981"/>
            <w:bookmarkStart w:id="10" w:name="_Toc109"/>
            <w:bookmarkStart w:id="11" w:name="_Toc15345"/>
            <w:bookmarkStart w:id="12" w:name="_Toc26215"/>
            <w:bookmarkStart w:id="13" w:name="_Toc27421"/>
            <w:r>
              <w:rPr>
                <w:rFonts w:hint="eastAsia" w:ascii="仿宋" w:hAnsi="仿宋" w:eastAsia="仿宋" w:cs="仿宋"/>
                <w:sz w:val="24"/>
                <w:szCs w:val="24"/>
              </w:rPr>
              <w:t>原产地及制造厂名</w:t>
            </w:r>
            <w:bookmarkEnd w:id="9"/>
            <w:bookmarkEnd w:id="10"/>
            <w:bookmarkEnd w:id="11"/>
            <w:bookmarkEnd w:id="12"/>
            <w:bookmarkEnd w:id="13"/>
          </w:p>
        </w:tc>
        <w:tc>
          <w:tcPr>
            <w:tcW w:w="819" w:type="dxa"/>
            <w:tcBorders>
              <w:right w:val="single" w:color="auto" w:sz="4" w:space="0"/>
            </w:tcBorders>
            <w:noWrap w:val="0"/>
            <w:vAlign w:val="center"/>
          </w:tcPr>
          <w:p w14:paraId="013D46F2">
            <w:pPr>
              <w:pStyle w:val="7"/>
              <w:adjustRightInd w:val="0"/>
              <w:snapToGrid w:val="0"/>
              <w:ind w:left="0"/>
              <w:jc w:val="center"/>
              <w:rPr>
                <w:rFonts w:hint="eastAsia" w:ascii="仿宋" w:hAnsi="仿宋" w:eastAsia="仿宋" w:cs="仿宋"/>
                <w:sz w:val="24"/>
                <w:szCs w:val="24"/>
              </w:rPr>
            </w:pPr>
            <w:bookmarkStart w:id="14" w:name="_Toc14127"/>
            <w:bookmarkStart w:id="15" w:name="_Toc14339"/>
            <w:bookmarkStart w:id="16" w:name="_Toc10570"/>
            <w:bookmarkStart w:id="17" w:name="_Toc14373"/>
            <w:bookmarkStart w:id="18" w:name="_Toc20611"/>
            <w:r>
              <w:rPr>
                <w:rFonts w:hint="eastAsia" w:ascii="仿宋" w:hAnsi="仿宋" w:eastAsia="仿宋" w:cs="仿宋"/>
                <w:sz w:val="24"/>
                <w:szCs w:val="24"/>
              </w:rPr>
              <w:t>单价</w:t>
            </w:r>
            <w:bookmarkEnd w:id="14"/>
            <w:bookmarkEnd w:id="15"/>
            <w:bookmarkEnd w:id="16"/>
            <w:bookmarkEnd w:id="17"/>
            <w:bookmarkEnd w:id="18"/>
          </w:p>
        </w:tc>
        <w:tc>
          <w:tcPr>
            <w:tcW w:w="730" w:type="dxa"/>
            <w:tcBorders>
              <w:left w:val="single" w:color="auto" w:sz="4" w:space="0"/>
              <w:right w:val="single" w:color="auto" w:sz="4" w:space="0"/>
            </w:tcBorders>
            <w:noWrap w:val="0"/>
            <w:vAlign w:val="center"/>
          </w:tcPr>
          <w:p w14:paraId="7C2EE133">
            <w:pPr>
              <w:pStyle w:val="7"/>
              <w:adjustRightInd w:val="0"/>
              <w:snapToGrid w:val="0"/>
              <w:ind w:left="0"/>
              <w:jc w:val="center"/>
              <w:rPr>
                <w:rFonts w:hint="eastAsia" w:ascii="仿宋" w:hAnsi="仿宋" w:eastAsia="仿宋" w:cs="仿宋"/>
                <w:sz w:val="24"/>
                <w:szCs w:val="24"/>
              </w:rPr>
            </w:pPr>
            <w:bookmarkStart w:id="19" w:name="_Toc879"/>
            <w:bookmarkStart w:id="20" w:name="_Toc19941"/>
            <w:bookmarkStart w:id="21" w:name="_Toc15777"/>
            <w:bookmarkStart w:id="22" w:name="_Toc21991"/>
            <w:bookmarkStart w:id="23" w:name="_Toc31109"/>
            <w:r>
              <w:rPr>
                <w:rFonts w:hint="eastAsia" w:ascii="仿宋" w:hAnsi="仿宋" w:eastAsia="仿宋" w:cs="仿宋"/>
                <w:sz w:val="24"/>
                <w:szCs w:val="24"/>
              </w:rPr>
              <w:t>数量</w:t>
            </w:r>
            <w:bookmarkEnd w:id="19"/>
            <w:bookmarkEnd w:id="20"/>
            <w:bookmarkEnd w:id="21"/>
            <w:bookmarkEnd w:id="22"/>
            <w:bookmarkEnd w:id="23"/>
          </w:p>
        </w:tc>
        <w:tc>
          <w:tcPr>
            <w:tcW w:w="1043" w:type="dxa"/>
            <w:tcBorders>
              <w:left w:val="single" w:color="auto" w:sz="4" w:space="0"/>
            </w:tcBorders>
            <w:noWrap w:val="0"/>
            <w:vAlign w:val="center"/>
          </w:tcPr>
          <w:p w14:paraId="1B1FC42B">
            <w:pPr>
              <w:pStyle w:val="7"/>
              <w:ind w:left="0"/>
              <w:jc w:val="center"/>
              <w:rPr>
                <w:rFonts w:hint="eastAsia" w:ascii="仿宋" w:hAnsi="仿宋" w:eastAsia="仿宋" w:cs="仿宋"/>
                <w:sz w:val="24"/>
                <w:szCs w:val="24"/>
              </w:rPr>
            </w:pPr>
            <w:bookmarkStart w:id="24" w:name="_Toc28776"/>
            <w:bookmarkStart w:id="25" w:name="_Toc12748"/>
            <w:bookmarkStart w:id="26" w:name="_Toc6689"/>
            <w:bookmarkStart w:id="27" w:name="_Toc23428"/>
            <w:bookmarkStart w:id="28" w:name="_Toc28024"/>
            <w:r>
              <w:rPr>
                <w:rFonts w:hint="eastAsia" w:ascii="仿宋" w:hAnsi="仿宋" w:eastAsia="仿宋" w:cs="仿宋"/>
                <w:sz w:val="24"/>
                <w:szCs w:val="24"/>
              </w:rPr>
              <w:t>交付地点</w:t>
            </w:r>
            <w:bookmarkEnd w:id="24"/>
            <w:bookmarkEnd w:id="25"/>
            <w:bookmarkEnd w:id="26"/>
            <w:bookmarkEnd w:id="27"/>
            <w:bookmarkEnd w:id="28"/>
          </w:p>
        </w:tc>
        <w:tc>
          <w:tcPr>
            <w:tcW w:w="1206" w:type="dxa"/>
            <w:tcBorders>
              <w:right w:val="single" w:color="auto" w:sz="4" w:space="0"/>
            </w:tcBorders>
            <w:noWrap w:val="0"/>
            <w:vAlign w:val="center"/>
          </w:tcPr>
          <w:p w14:paraId="10C39DA0">
            <w:pPr>
              <w:pStyle w:val="7"/>
              <w:ind w:left="0"/>
              <w:jc w:val="center"/>
              <w:rPr>
                <w:rFonts w:hint="eastAsia" w:ascii="仿宋" w:hAnsi="仿宋" w:eastAsia="仿宋" w:cs="仿宋"/>
                <w:sz w:val="24"/>
                <w:szCs w:val="24"/>
              </w:rPr>
            </w:pPr>
            <w:bookmarkStart w:id="29" w:name="_Toc2991"/>
            <w:bookmarkStart w:id="30" w:name="_Toc916"/>
            <w:bookmarkStart w:id="31" w:name="_Toc21882"/>
            <w:bookmarkStart w:id="32" w:name="_Toc10344"/>
            <w:r>
              <w:rPr>
                <w:rFonts w:hint="eastAsia" w:ascii="仿宋" w:hAnsi="仿宋" w:eastAsia="仿宋" w:cs="仿宋"/>
                <w:sz w:val="24"/>
                <w:szCs w:val="24"/>
              </w:rPr>
              <w:t>交付时间</w:t>
            </w:r>
            <w:bookmarkEnd w:id="29"/>
            <w:bookmarkEnd w:id="30"/>
            <w:bookmarkEnd w:id="31"/>
            <w:bookmarkEnd w:id="32"/>
          </w:p>
        </w:tc>
        <w:tc>
          <w:tcPr>
            <w:tcW w:w="897" w:type="dxa"/>
            <w:tcBorders>
              <w:right w:val="single" w:color="auto" w:sz="4" w:space="0"/>
            </w:tcBorders>
            <w:noWrap w:val="0"/>
            <w:vAlign w:val="center"/>
          </w:tcPr>
          <w:p w14:paraId="57560B17">
            <w:pPr>
              <w:pStyle w:val="7"/>
              <w:ind w:left="0"/>
              <w:jc w:val="center"/>
              <w:rPr>
                <w:rFonts w:hint="eastAsia" w:ascii="仿宋" w:hAnsi="仿宋" w:eastAsia="仿宋" w:cs="仿宋"/>
                <w:sz w:val="24"/>
                <w:szCs w:val="24"/>
              </w:rPr>
            </w:pPr>
            <w:bookmarkStart w:id="33" w:name="_Toc31273"/>
            <w:bookmarkStart w:id="34" w:name="_Toc10193"/>
            <w:bookmarkStart w:id="35" w:name="_Toc17703"/>
            <w:bookmarkStart w:id="36" w:name="_Toc18546"/>
            <w:bookmarkStart w:id="37" w:name="_Toc18945"/>
            <w:r>
              <w:rPr>
                <w:rFonts w:hint="eastAsia" w:ascii="仿宋" w:hAnsi="仿宋" w:eastAsia="仿宋" w:cs="仿宋"/>
                <w:sz w:val="24"/>
                <w:szCs w:val="24"/>
              </w:rPr>
              <w:t>备注</w:t>
            </w:r>
            <w:bookmarkEnd w:id="33"/>
            <w:bookmarkEnd w:id="34"/>
            <w:bookmarkEnd w:id="35"/>
            <w:bookmarkEnd w:id="36"/>
            <w:bookmarkEnd w:id="37"/>
          </w:p>
        </w:tc>
      </w:tr>
      <w:tr w14:paraId="205048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0" w:hRule="atLeast"/>
          <w:jc w:val="center"/>
        </w:trPr>
        <w:tc>
          <w:tcPr>
            <w:tcW w:w="670" w:type="dxa"/>
            <w:noWrap w:val="0"/>
            <w:vAlign w:val="top"/>
          </w:tcPr>
          <w:p w14:paraId="1EC4AF0B">
            <w:pPr>
              <w:spacing w:beforeLines="50" w:line="360" w:lineRule="auto"/>
              <w:jc w:val="center"/>
              <w:rPr>
                <w:rFonts w:hint="eastAsia" w:ascii="仿宋" w:hAnsi="仿宋" w:eastAsia="仿宋" w:cs="仿宋"/>
                <w:sz w:val="24"/>
                <w:szCs w:val="24"/>
              </w:rPr>
            </w:pPr>
          </w:p>
        </w:tc>
        <w:tc>
          <w:tcPr>
            <w:tcW w:w="953" w:type="dxa"/>
            <w:noWrap w:val="0"/>
            <w:vAlign w:val="top"/>
          </w:tcPr>
          <w:p w14:paraId="0074C056">
            <w:pPr>
              <w:spacing w:beforeLines="50" w:line="360" w:lineRule="auto"/>
              <w:jc w:val="center"/>
              <w:rPr>
                <w:rFonts w:hint="eastAsia" w:ascii="仿宋" w:hAnsi="仿宋" w:eastAsia="仿宋" w:cs="仿宋"/>
                <w:sz w:val="24"/>
                <w:szCs w:val="24"/>
              </w:rPr>
            </w:pPr>
          </w:p>
        </w:tc>
        <w:tc>
          <w:tcPr>
            <w:tcW w:w="1475" w:type="dxa"/>
            <w:tcBorders>
              <w:right w:val="single" w:color="auto" w:sz="4" w:space="0"/>
            </w:tcBorders>
            <w:noWrap w:val="0"/>
            <w:vAlign w:val="top"/>
          </w:tcPr>
          <w:p w14:paraId="077E9E32">
            <w:pPr>
              <w:spacing w:beforeLines="50" w:line="360" w:lineRule="auto"/>
              <w:jc w:val="center"/>
              <w:rPr>
                <w:rFonts w:hint="eastAsia" w:ascii="仿宋" w:hAnsi="仿宋" w:eastAsia="仿宋" w:cs="仿宋"/>
                <w:sz w:val="24"/>
                <w:szCs w:val="24"/>
              </w:rPr>
            </w:pPr>
          </w:p>
        </w:tc>
        <w:tc>
          <w:tcPr>
            <w:tcW w:w="1683" w:type="dxa"/>
            <w:tcBorders>
              <w:left w:val="single" w:color="auto" w:sz="4" w:space="0"/>
            </w:tcBorders>
            <w:noWrap w:val="0"/>
            <w:vAlign w:val="top"/>
          </w:tcPr>
          <w:p w14:paraId="1C07AED5">
            <w:pPr>
              <w:spacing w:beforeLines="50" w:line="360" w:lineRule="auto"/>
              <w:jc w:val="center"/>
              <w:rPr>
                <w:rFonts w:hint="eastAsia" w:ascii="仿宋" w:hAnsi="仿宋" w:eastAsia="仿宋" w:cs="仿宋"/>
                <w:sz w:val="24"/>
                <w:szCs w:val="24"/>
              </w:rPr>
            </w:pPr>
          </w:p>
        </w:tc>
        <w:tc>
          <w:tcPr>
            <w:tcW w:w="819" w:type="dxa"/>
            <w:tcBorders>
              <w:right w:val="single" w:color="auto" w:sz="4" w:space="0"/>
            </w:tcBorders>
            <w:noWrap w:val="0"/>
            <w:vAlign w:val="top"/>
          </w:tcPr>
          <w:p w14:paraId="2E407371">
            <w:pPr>
              <w:spacing w:beforeLines="50" w:line="360" w:lineRule="auto"/>
              <w:jc w:val="center"/>
              <w:rPr>
                <w:rFonts w:hint="eastAsia" w:ascii="仿宋" w:hAnsi="仿宋" w:eastAsia="仿宋" w:cs="仿宋"/>
                <w:sz w:val="24"/>
                <w:szCs w:val="24"/>
              </w:rPr>
            </w:pPr>
          </w:p>
        </w:tc>
        <w:tc>
          <w:tcPr>
            <w:tcW w:w="730" w:type="dxa"/>
            <w:tcBorders>
              <w:left w:val="single" w:color="auto" w:sz="4" w:space="0"/>
              <w:right w:val="single" w:color="auto" w:sz="4" w:space="0"/>
            </w:tcBorders>
            <w:noWrap w:val="0"/>
            <w:vAlign w:val="top"/>
          </w:tcPr>
          <w:p w14:paraId="4EF4FCA2">
            <w:pPr>
              <w:spacing w:beforeLines="50" w:line="360" w:lineRule="auto"/>
              <w:jc w:val="center"/>
              <w:rPr>
                <w:rFonts w:hint="eastAsia" w:ascii="仿宋" w:hAnsi="仿宋" w:eastAsia="仿宋" w:cs="仿宋"/>
                <w:sz w:val="24"/>
                <w:szCs w:val="24"/>
              </w:rPr>
            </w:pPr>
          </w:p>
        </w:tc>
        <w:tc>
          <w:tcPr>
            <w:tcW w:w="1043" w:type="dxa"/>
            <w:tcBorders>
              <w:left w:val="single" w:color="auto" w:sz="4" w:space="0"/>
            </w:tcBorders>
            <w:noWrap w:val="0"/>
            <w:vAlign w:val="top"/>
          </w:tcPr>
          <w:p w14:paraId="6089E972">
            <w:pPr>
              <w:spacing w:beforeLines="50" w:line="360" w:lineRule="auto"/>
              <w:jc w:val="center"/>
              <w:rPr>
                <w:rFonts w:hint="eastAsia" w:ascii="仿宋" w:hAnsi="仿宋" w:eastAsia="仿宋" w:cs="仿宋"/>
                <w:sz w:val="24"/>
                <w:szCs w:val="24"/>
              </w:rPr>
            </w:pPr>
          </w:p>
        </w:tc>
        <w:tc>
          <w:tcPr>
            <w:tcW w:w="1206" w:type="dxa"/>
            <w:tcBorders>
              <w:right w:val="single" w:color="auto" w:sz="4" w:space="0"/>
            </w:tcBorders>
            <w:noWrap w:val="0"/>
            <w:vAlign w:val="top"/>
          </w:tcPr>
          <w:p w14:paraId="30126895">
            <w:pPr>
              <w:spacing w:beforeLines="50" w:line="360" w:lineRule="auto"/>
              <w:jc w:val="center"/>
              <w:rPr>
                <w:rFonts w:hint="eastAsia" w:ascii="仿宋" w:hAnsi="仿宋" w:eastAsia="仿宋" w:cs="仿宋"/>
                <w:sz w:val="24"/>
                <w:szCs w:val="24"/>
              </w:rPr>
            </w:pPr>
          </w:p>
        </w:tc>
        <w:tc>
          <w:tcPr>
            <w:tcW w:w="897" w:type="dxa"/>
            <w:tcBorders>
              <w:right w:val="single" w:color="auto" w:sz="4" w:space="0"/>
            </w:tcBorders>
            <w:noWrap w:val="0"/>
            <w:vAlign w:val="top"/>
          </w:tcPr>
          <w:p w14:paraId="41A532C8">
            <w:pPr>
              <w:spacing w:beforeLines="50" w:line="360" w:lineRule="auto"/>
              <w:jc w:val="center"/>
              <w:rPr>
                <w:rFonts w:hint="eastAsia" w:ascii="仿宋" w:hAnsi="仿宋" w:eastAsia="仿宋" w:cs="仿宋"/>
                <w:sz w:val="24"/>
                <w:szCs w:val="24"/>
              </w:rPr>
            </w:pPr>
          </w:p>
        </w:tc>
      </w:tr>
      <w:tr w14:paraId="29222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0" w:hRule="atLeast"/>
          <w:jc w:val="center"/>
        </w:trPr>
        <w:tc>
          <w:tcPr>
            <w:tcW w:w="670" w:type="dxa"/>
            <w:noWrap w:val="0"/>
            <w:vAlign w:val="top"/>
          </w:tcPr>
          <w:p w14:paraId="59A0C147">
            <w:pPr>
              <w:spacing w:beforeLines="50" w:line="360" w:lineRule="auto"/>
              <w:jc w:val="center"/>
              <w:rPr>
                <w:rFonts w:hint="eastAsia" w:ascii="仿宋" w:hAnsi="仿宋" w:eastAsia="仿宋" w:cs="仿宋"/>
                <w:sz w:val="24"/>
                <w:szCs w:val="24"/>
              </w:rPr>
            </w:pPr>
          </w:p>
        </w:tc>
        <w:tc>
          <w:tcPr>
            <w:tcW w:w="953" w:type="dxa"/>
            <w:noWrap w:val="0"/>
            <w:vAlign w:val="top"/>
          </w:tcPr>
          <w:p w14:paraId="34607A59">
            <w:pPr>
              <w:spacing w:beforeLines="50" w:line="360" w:lineRule="auto"/>
              <w:jc w:val="center"/>
              <w:rPr>
                <w:rFonts w:hint="eastAsia" w:ascii="仿宋" w:hAnsi="仿宋" w:eastAsia="仿宋" w:cs="仿宋"/>
                <w:sz w:val="24"/>
                <w:szCs w:val="24"/>
              </w:rPr>
            </w:pPr>
          </w:p>
        </w:tc>
        <w:tc>
          <w:tcPr>
            <w:tcW w:w="1475" w:type="dxa"/>
            <w:tcBorders>
              <w:right w:val="single" w:color="auto" w:sz="4" w:space="0"/>
            </w:tcBorders>
            <w:noWrap w:val="0"/>
            <w:vAlign w:val="top"/>
          </w:tcPr>
          <w:p w14:paraId="59EDB863">
            <w:pPr>
              <w:spacing w:beforeLines="50" w:line="360" w:lineRule="auto"/>
              <w:jc w:val="center"/>
              <w:rPr>
                <w:rFonts w:hint="eastAsia" w:ascii="仿宋" w:hAnsi="仿宋" w:eastAsia="仿宋" w:cs="仿宋"/>
                <w:sz w:val="24"/>
                <w:szCs w:val="24"/>
              </w:rPr>
            </w:pPr>
          </w:p>
        </w:tc>
        <w:tc>
          <w:tcPr>
            <w:tcW w:w="1683" w:type="dxa"/>
            <w:tcBorders>
              <w:left w:val="single" w:color="auto" w:sz="4" w:space="0"/>
            </w:tcBorders>
            <w:noWrap w:val="0"/>
            <w:vAlign w:val="top"/>
          </w:tcPr>
          <w:p w14:paraId="6314D85E">
            <w:pPr>
              <w:spacing w:beforeLines="50" w:line="360" w:lineRule="auto"/>
              <w:jc w:val="center"/>
              <w:rPr>
                <w:rFonts w:hint="eastAsia" w:ascii="仿宋" w:hAnsi="仿宋" w:eastAsia="仿宋" w:cs="仿宋"/>
                <w:sz w:val="24"/>
                <w:szCs w:val="24"/>
              </w:rPr>
            </w:pPr>
          </w:p>
        </w:tc>
        <w:tc>
          <w:tcPr>
            <w:tcW w:w="819" w:type="dxa"/>
            <w:tcBorders>
              <w:right w:val="single" w:color="auto" w:sz="4" w:space="0"/>
            </w:tcBorders>
            <w:noWrap w:val="0"/>
            <w:vAlign w:val="top"/>
          </w:tcPr>
          <w:p w14:paraId="6499DBF9">
            <w:pPr>
              <w:spacing w:beforeLines="50" w:line="360" w:lineRule="auto"/>
              <w:jc w:val="center"/>
              <w:rPr>
                <w:rFonts w:hint="eastAsia" w:ascii="仿宋" w:hAnsi="仿宋" w:eastAsia="仿宋" w:cs="仿宋"/>
                <w:sz w:val="24"/>
                <w:szCs w:val="24"/>
              </w:rPr>
            </w:pPr>
          </w:p>
        </w:tc>
        <w:tc>
          <w:tcPr>
            <w:tcW w:w="730" w:type="dxa"/>
            <w:tcBorders>
              <w:left w:val="single" w:color="auto" w:sz="4" w:space="0"/>
              <w:right w:val="single" w:color="auto" w:sz="4" w:space="0"/>
            </w:tcBorders>
            <w:noWrap w:val="0"/>
            <w:vAlign w:val="top"/>
          </w:tcPr>
          <w:p w14:paraId="2C964EDF">
            <w:pPr>
              <w:spacing w:beforeLines="50" w:line="360" w:lineRule="auto"/>
              <w:jc w:val="center"/>
              <w:rPr>
                <w:rFonts w:hint="eastAsia" w:ascii="仿宋" w:hAnsi="仿宋" w:eastAsia="仿宋" w:cs="仿宋"/>
                <w:sz w:val="24"/>
                <w:szCs w:val="24"/>
              </w:rPr>
            </w:pPr>
          </w:p>
        </w:tc>
        <w:tc>
          <w:tcPr>
            <w:tcW w:w="1043" w:type="dxa"/>
            <w:tcBorders>
              <w:left w:val="single" w:color="auto" w:sz="4" w:space="0"/>
            </w:tcBorders>
            <w:noWrap w:val="0"/>
            <w:vAlign w:val="top"/>
          </w:tcPr>
          <w:p w14:paraId="56EE88B6">
            <w:pPr>
              <w:spacing w:beforeLines="50" w:line="360" w:lineRule="auto"/>
              <w:jc w:val="center"/>
              <w:rPr>
                <w:rFonts w:hint="eastAsia" w:ascii="仿宋" w:hAnsi="仿宋" w:eastAsia="仿宋" w:cs="仿宋"/>
                <w:sz w:val="24"/>
                <w:szCs w:val="24"/>
              </w:rPr>
            </w:pPr>
          </w:p>
        </w:tc>
        <w:tc>
          <w:tcPr>
            <w:tcW w:w="1206" w:type="dxa"/>
            <w:tcBorders>
              <w:right w:val="single" w:color="auto" w:sz="4" w:space="0"/>
            </w:tcBorders>
            <w:noWrap w:val="0"/>
            <w:vAlign w:val="top"/>
          </w:tcPr>
          <w:p w14:paraId="39AD205A">
            <w:pPr>
              <w:spacing w:beforeLines="50" w:line="360" w:lineRule="auto"/>
              <w:jc w:val="center"/>
              <w:rPr>
                <w:rFonts w:hint="eastAsia" w:ascii="仿宋" w:hAnsi="仿宋" w:eastAsia="仿宋" w:cs="仿宋"/>
                <w:sz w:val="24"/>
                <w:szCs w:val="24"/>
              </w:rPr>
            </w:pPr>
          </w:p>
        </w:tc>
        <w:tc>
          <w:tcPr>
            <w:tcW w:w="897" w:type="dxa"/>
            <w:tcBorders>
              <w:right w:val="single" w:color="auto" w:sz="4" w:space="0"/>
            </w:tcBorders>
            <w:noWrap w:val="0"/>
            <w:vAlign w:val="top"/>
          </w:tcPr>
          <w:p w14:paraId="602A321C">
            <w:pPr>
              <w:spacing w:beforeLines="50" w:line="360" w:lineRule="auto"/>
              <w:jc w:val="center"/>
              <w:rPr>
                <w:rFonts w:hint="eastAsia" w:ascii="仿宋" w:hAnsi="仿宋" w:eastAsia="仿宋" w:cs="仿宋"/>
                <w:sz w:val="24"/>
                <w:szCs w:val="24"/>
              </w:rPr>
            </w:pPr>
          </w:p>
        </w:tc>
      </w:tr>
      <w:tr w14:paraId="056FA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0" w:hRule="atLeast"/>
          <w:jc w:val="center"/>
        </w:trPr>
        <w:tc>
          <w:tcPr>
            <w:tcW w:w="670" w:type="dxa"/>
            <w:noWrap w:val="0"/>
            <w:vAlign w:val="top"/>
          </w:tcPr>
          <w:p w14:paraId="41CD2EF5">
            <w:pPr>
              <w:spacing w:beforeLines="50" w:line="360" w:lineRule="auto"/>
              <w:jc w:val="center"/>
              <w:rPr>
                <w:rFonts w:hint="eastAsia" w:ascii="仿宋" w:hAnsi="仿宋" w:eastAsia="仿宋" w:cs="仿宋"/>
                <w:sz w:val="24"/>
                <w:szCs w:val="24"/>
              </w:rPr>
            </w:pPr>
          </w:p>
        </w:tc>
        <w:tc>
          <w:tcPr>
            <w:tcW w:w="953" w:type="dxa"/>
            <w:noWrap w:val="0"/>
            <w:vAlign w:val="top"/>
          </w:tcPr>
          <w:p w14:paraId="29B9A2D2">
            <w:pPr>
              <w:spacing w:beforeLines="50" w:line="360" w:lineRule="auto"/>
              <w:jc w:val="center"/>
              <w:rPr>
                <w:rFonts w:hint="eastAsia" w:ascii="仿宋" w:hAnsi="仿宋" w:eastAsia="仿宋" w:cs="仿宋"/>
                <w:sz w:val="24"/>
                <w:szCs w:val="24"/>
              </w:rPr>
            </w:pPr>
          </w:p>
        </w:tc>
        <w:tc>
          <w:tcPr>
            <w:tcW w:w="1475" w:type="dxa"/>
            <w:tcBorders>
              <w:right w:val="single" w:color="auto" w:sz="4" w:space="0"/>
            </w:tcBorders>
            <w:noWrap w:val="0"/>
            <w:vAlign w:val="top"/>
          </w:tcPr>
          <w:p w14:paraId="4849C72B">
            <w:pPr>
              <w:spacing w:beforeLines="50" w:line="360" w:lineRule="auto"/>
              <w:jc w:val="center"/>
              <w:rPr>
                <w:rFonts w:hint="eastAsia" w:ascii="仿宋" w:hAnsi="仿宋" w:eastAsia="仿宋" w:cs="仿宋"/>
                <w:sz w:val="24"/>
                <w:szCs w:val="24"/>
              </w:rPr>
            </w:pPr>
          </w:p>
        </w:tc>
        <w:tc>
          <w:tcPr>
            <w:tcW w:w="1683" w:type="dxa"/>
            <w:tcBorders>
              <w:left w:val="single" w:color="auto" w:sz="4" w:space="0"/>
            </w:tcBorders>
            <w:noWrap w:val="0"/>
            <w:vAlign w:val="top"/>
          </w:tcPr>
          <w:p w14:paraId="369FECB0">
            <w:pPr>
              <w:spacing w:beforeLines="50" w:line="360" w:lineRule="auto"/>
              <w:jc w:val="center"/>
              <w:rPr>
                <w:rFonts w:hint="eastAsia" w:ascii="仿宋" w:hAnsi="仿宋" w:eastAsia="仿宋" w:cs="仿宋"/>
                <w:sz w:val="24"/>
                <w:szCs w:val="24"/>
              </w:rPr>
            </w:pPr>
          </w:p>
        </w:tc>
        <w:tc>
          <w:tcPr>
            <w:tcW w:w="819" w:type="dxa"/>
            <w:tcBorders>
              <w:right w:val="single" w:color="auto" w:sz="4" w:space="0"/>
            </w:tcBorders>
            <w:noWrap w:val="0"/>
            <w:vAlign w:val="top"/>
          </w:tcPr>
          <w:p w14:paraId="6C5919A7">
            <w:pPr>
              <w:spacing w:beforeLines="50" w:line="360" w:lineRule="auto"/>
              <w:jc w:val="center"/>
              <w:rPr>
                <w:rFonts w:hint="eastAsia" w:ascii="仿宋" w:hAnsi="仿宋" w:eastAsia="仿宋" w:cs="仿宋"/>
                <w:sz w:val="24"/>
                <w:szCs w:val="24"/>
              </w:rPr>
            </w:pPr>
          </w:p>
        </w:tc>
        <w:tc>
          <w:tcPr>
            <w:tcW w:w="730" w:type="dxa"/>
            <w:tcBorders>
              <w:left w:val="single" w:color="auto" w:sz="4" w:space="0"/>
              <w:right w:val="single" w:color="auto" w:sz="4" w:space="0"/>
            </w:tcBorders>
            <w:noWrap w:val="0"/>
            <w:vAlign w:val="top"/>
          </w:tcPr>
          <w:p w14:paraId="1309EAE7">
            <w:pPr>
              <w:spacing w:beforeLines="50" w:line="360" w:lineRule="auto"/>
              <w:jc w:val="center"/>
              <w:rPr>
                <w:rFonts w:hint="eastAsia" w:ascii="仿宋" w:hAnsi="仿宋" w:eastAsia="仿宋" w:cs="仿宋"/>
                <w:sz w:val="24"/>
                <w:szCs w:val="24"/>
              </w:rPr>
            </w:pPr>
          </w:p>
        </w:tc>
        <w:tc>
          <w:tcPr>
            <w:tcW w:w="1043" w:type="dxa"/>
            <w:tcBorders>
              <w:left w:val="single" w:color="auto" w:sz="4" w:space="0"/>
            </w:tcBorders>
            <w:noWrap w:val="0"/>
            <w:vAlign w:val="top"/>
          </w:tcPr>
          <w:p w14:paraId="40C42625">
            <w:pPr>
              <w:spacing w:beforeLines="50" w:line="360" w:lineRule="auto"/>
              <w:jc w:val="center"/>
              <w:rPr>
                <w:rFonts w:hint="eastAsia" w:ascii="仿宋" w:hAnsi="仿宋" w:eastAsia="仿宋" w:cs="仿宋"/>
                <w:sz w:val="24"/>
                <w:szCs w:val="24"/>
              </w:rPr>
            </w:pPr>
          </w:p>
        </w:tc>
        <w:tc>
          <w:tcPr>
            <w:tcW w:w="1206" w:type="dxa"/>
            <w:tcBorders>
              <w:right w:val="single" w:color="auto" w:sz="4" w:space="0"/>
            </w:tcBorders>
            <w:noWrap w:val="0"/>
            <w:vAlign w:val="top"/>
          </w:tcPr>
          <w:p w14:paraId="5825142B">
            <w:pPr>
              <w:spacing w:beforeLines="50" w:line="360" w:lineRule="auto"/>
              <w:jc w:val="center"/>
              <w:rPr>
                <w:rFonts w:hint="eastAsia" w:ascii="仿宋" w:hAnsi="仿宋" w:eastAsia="仿宋" w:cs="仿宋"/>
                <w:sz w:val="24"/>
                <w:szCs w:val="24"/>
              </w:rPr>
            </w:pPr>
          </w:p>
        </w:tc>
        <w:tc>
          <w:tcPr>
            <w:tcW w:w="897" w:type="dxa"/>
            <w:tcBorders>
              <w:right w:val="single" w:color="auto" w:sz="4" w:space="0"/>
            </w:tcBorders>
            <w:noWrap w:val="0"/>
            <w:vAlign w:val="top"/>
          </w:tcPr>
          <w:p w14:paraId="0219772F">
            <w:pPr>
              <w:spacing w:beforeLines="50" w:line="360" w:lineRule="auto"/>
              <w:jc w:val="center"/>
              <w:rPr>
                <w:rFonts w:hint="eastAsia" w:ascii="仿宋" w:hAnsi="仿宋" w:eastAsia="仿宋" w:cs="仿宋"/>
                <w:sz w:val="24"/>
                <w:szCs w:val="24"/>
              </w:rPr>
            </w:pPr>
          </w:p>
        </w:tc>
      </w:tr>
      <w:tr w14:paraId="030D39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670" w:type="dxa"/>
            <w:noWrap w:val="0"/>
            <w:vAlign w:val="top"/>
          </w:tcPr>
          <w:p w14:paraId="2C1FCC0A">
            <w:pPr>
              <w:spacing w:beforeLines="50" w:line="360" w:lineRule="auto"/>
              <w:jc w:val="center"/>
              <w:rPr>
                <w:rFonts w:hint="eastAsia" w:ascii="仿宋" w:hAnsi="仿宋" w:eastAsia="仿宋" w:cs="仿宋"/>
                <w:sz w:val="24"/>
                <w:szCs w:val="24"/>
              </w:rPr>
            </w:pPr>
          </w:p>
        </w:tc>
        <w:tc>
          <w:tcPr>
            <w:tcW w:w="953" w:type="dxa"/>
            <w:noWrap w:val="0"/>
            <w:vAlign w:val="top"/>
          </w:tcPr>
          <w:p w14:paraId="513737B2">
            <w:pPr>
              <w:spacing w:beforeLines="50" w:line="360" w:lineRule="auto"/>
              <w:jc w:val="center"/>
              <w:rPr>
                <w:rFonts w:hint="eastAsia" w:ascii="仿宋" w:hAnsi="仿宋" w:eastAsia="仿宋" w:cs="仿宋"/>
                <w:sz w:val="24"/>
                <w:szCs w:val="24"/>
              </w:rPr>
            </w:pPr>
          </w:p>
        </w:tc>
        <w:tc>
          <w:tcPr>
            <w:tcW w:w="1475" w:type="dxa"/>
            <w:tcBorders>
              <w:right w:val="single" w:color="auto" w:sz="4" w:space="0"/>
            </w:tcBorders>
            <w:noWrap w:val="0"/>
            <w:vAlign w:val="top"/>
          </w:tcPr>
          <w:p w14:paraId="5BD3DC5D">
            <w:pPr>
              <w:spacing w:beforeLines="50" w:line="360" w:lineRule="auto"/>
              <w:jc w:val="center"/>
              <w:rPr>
                <w:rFonts w:hint="eastAsia" w:ascii="仿宋" w:hAnsi="仿宋" w:eastAsia="仿宋" w:cs="仿宋"/>
                <w:sz w:val="24"/>
                <w:szCs w:val="24"/>
              </w:rPr>
            </w:pPr>
          </w:p>
        </w:tc>
        <w:tc>
          <w:tcPr>
            <w:tcW w:w="1683" w:type="dxa"/>
            <w:tcBorders>
              <w:left w:val="single" w:color="auto" w:sz="4" w:space="0"/>
            </w:tcBorders>
            <w:noWrap w:val="0"/>
            <w:vAlign w:val="top"/>
          </w:tcPr>
          <w:p w14:paraId="52902ED4">
            <w:pPr>
              <w:spacing w:beforeLines="50" w:line="360" w:lineRule="auto"/>
              <w:jc w:val="center"/>
              <w:rPr>
                <w:rFonts w:hint="eastAsia" w:ascii="仿宋" w:hAnsi="仿宋" w:eastAsia="仿宋" w:cs="仿宋"/>
                <w:sz w:val="24"/>
                <w:szCs w:val="24"/>
              </w:rPr>
            </w:pPr>
          </w:p>
        </w:tc>
        <w:tc>
          <w:tcPr>
            <w:tcW w:w="819" w:type="dxa"/>
            <w:tcBorders>
              <w:right w:val="single" w:color="auto" w:sz="4" w:space="0"/>
            </w:tcBorders>
            <w:noWrap w:val="0"/>
            <w:vAlign w:val="top"/>
          </w:tcPr>
          <w:p w14:paraId="2128E74F">
            <w:pPr>
              <w:spacing w:beforeLines="50" w:line="360" w:lineRule="auto"/>
              <w:jc w:val="center"/>
              <w:rPr>
                <w:rFonts w:hint="eastAsia" w:ascii="仿宋" w:hAnsi="仿宋" w:eastAsia="仿宋" w:cs="仿宋"/>
                <w:sz w:val="24"/>
                <w:szCs w:val="24"/>
              </w:rPr>
            </w:pPr>
          </w:p>
        </w:tc>
        <w:tc>
          <w:tcPr>
            <w:tcW w:w="730" w:type="dxa"/>
            <w:tcBorders>
              <w:left w:val="single" w:color="auto" w:sz="4" w:space="0"/>
              <w:right w:val="single" w:color="auto" w:sz="4" w:space="0"/>
            </w:tcBorders>
            <w:noWrap w:val="0"/>
            <w:vAlign w:val="top"/>
          </w:tcPr>
          <w:p w14:paraId="08B99228">
            <w:pPr>
              <w:spacing w:beforeLines="50" w:line="360" w:lineRule="auto"/>
              <w:jc w:val="center"/>
              <w:rPr>
                <w:rFonts w:hint="eastAsia" w:ascii="仿宋" w:hAnsi="仿宋" w:eastAsia="仿宋" w:cs="仿宋"/>
                <w:sz w:val="24"/>
                <w:szCs w:val="24"/>
              </w:rPr>
            </w:pPr>
          </w:p>
        </w:tc>
        <w:tc>
          <w:tcPr>
            <w:tcW w:w="1043" w:type="dxa"/>
            <w:tcBorders>
              <w:left w:val="single" w:color="auto" w:sz="4" w:space="0"/>
            </w:tcBorders>
            <w:noWrap w:val="0"/>
            <w:vAlign w:val="top"/>
          </w:tcPr>
          <w:p w14:paraId="198D065D">
            <w:pPr>
              <w:spacing w:beforeLines="50" w:line="360" w:lineRule="auto"/>
              <w:jc w:val="center"/>
              <w:rPr>
                <w:rFonts w:hint="eastAsia" w:ascii="仿宋" w:hAnsi="仿宋" w:eastAsia="仿宋" w:cs="仿宋"/>
                <w:sz w:val="24"/>
                <w:szCs w:val="24"/>
              </w:rPr>
            </w:pPr>
          </w:p>
        </w:tc>
        <w:tc>
          <w:tcPr>
            <w:tcW w:w="1206" w:type="dxa"/>
            <w:tcBorders>
              <w:right w:val="single" w:color="auto" w:sz="4" w:space="0"/>
            </w:tcBorders>
            <w:noWrap w:val="0"/>
            <w:vAlign w:val="top"/>
          </w:tcPr>
          <w:p w14:paraId="386FFE8D">
            <w:pPr>
              <w:spacing w:beforeLines="50" w:line="360" w:lineRule="auto"/>
              <w:jc w:val="center"/>
              <w:rPr>
                <w:rFonts w:hint="eastAsia" w:ascii="仿宋" w:hAnsi="仿宋" w:eastAsia="仿宋" w:cs="仿宋"/>
                <w:sz w:val="24"/>
                <w:szCs w:val="24"/>
              </w:rPr>
            </w:pPr>
          </w:p>
        </w:tc>
        <w:tc>
          <w:tcPr>
            <w:tcW w:w="897" w:type="dxa"/>
            <w:tcBorders>
              <w:right w:val="single" w:color="auto" w:sz="4" w:space="0"/>
            </w:tcBorders>
            <w:noWrap w:val="0"/>
            <w:vAlign w:val="top"/>
          </w:tcPr>
          <w:p w14:paraId="259C3C23">
            <w:pPr>
              <w:spacing w:beforeLines="50" w:line="360" w:lineRule="auto"/>
              <w:jc w:val="center"/>
              <w:rPr>
                <w:rFonts w:hint="eastAsia" w:ascii="仿宋" w:hAnsi="仿宋" w:eastAsia="仿宋" w:cs="仿宋"/>
                <w:sz w:val="24"/>
                <w:szCs w:val="24"/>
              </w:rPr>
            </w:pPr>
          </w:p>
        </w:tc>
      </w:tr>
    </w:tbl>
    <w:p w14:paraId="375C4E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第二条</w:t>
      </w:r>
      <w:r>
        <w:rPr>
          <w:rFonts w:hint="eastAsia" w:ascii="仿宋" w:hAnsi="仿宋" w:eastAsia="仿宋" w:cs="仿宋"/>
          <w:b/>
          <w:bCs/>
          <w:sz w:val="24"/>
          <w:szCs w:val="24"/>
          <w:lang w:val="en-US" w:eastAsia="zh-CN"/>
        </w:rPr>
        <w:t xml:space="preserve">  交货期及</w:t>
      </w:r>
      <w:r>
        <w:rPr>
          <w:rFonts w:hint="eastAsia" w:ascii="仿宋" w:hAnsi="仿宋" w:eastAsia="仿宋" w:cs="仿宋"/>
          <w:b/>
          <w:bCs/>
          <w:sz w:val="24"/>
          <w:szCs w:val="24"/>
        </w:rPr>
        <w:t>地点</w:t>
      </w:r>
    </w:p>
    <w:p w14:paraId="4FD65B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交货</w:t>
      </w:r>
      <w:r>
        <w:rPr>
          <w:rFonts w:hint="eastAsia" w:ascii="仿宋" w:hAnsi="仿宋" w:eastAsia="仿宋" w:cs="仿宋"/>
          <w:sz w:val="24"/>
          <w:szCs w:val="24"/>
        </w:rPr>
        <w:t>期:合同签订后30个日历日内供货完毕</w:t>
      </w:r>
    </w:p>
    <w:p w14:paraId="00B032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交货</w:t>
      </w:r>
      <w:r>
        <w:rPr>
          <w:rFonts w:hint="eastAsia" w:ascii="仿宋" w:hAnsi="仿宋" w:eastAsia="仿宋" w:cs="仿宋"/>
          <w:sz w:val="24"/>
          <w:szCs w:val="24"/>
        </w:rPr>
        <w:t>地点:采购人指定地点</w:t>
      </w:r>
    </w:p>
    <w:p w14:paraId="2B0FCD76">
      <w:pPr>
        <w:pStyle w:val="12"/>
        <w:outlineLvl w:val="3"/>
        <w:rPr>
          <w:rFonts w:hint="eastAsia" w:ascii="仿宋" w:hAnsi="仿宋" w:eastAsia="仿宋" w:cs="仿宋"/>
          <w:b/>
          <w:bCs/>
          <w:sz w:val="24"/>
          <w:szCs w:val="24"/>
          <w:lang w:val="en-US" w:eastAsia="zh-CN" w:bidi="ar-SA"/>
        </w:rPr>
      </w:pPr>
      <w:r>
        <w:rPr>
          <w:rFonts w:hint="eastAsia" w:ascii="仿宋" w:hAnsi="仿宋" w:eastAsia="仿宋" w:cs="仿宋"/>
          <w:b/>
          <w:bCs/>
          <w:sz w:val="24"/>
          <w:szCs w:val="24"/>
          <w:lang w:val="en-US" w:eastAsia="zh-CN" w:bidi="ar-SA"/>
        </w:rPr>
        <w:t>第三条  包装方式及运输</w:t>
      </w:r>
    </w:p>
    <w:p w14:paraId="7EDF55E3">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 包装:应采取防潮、防晒、防腐蚀、防震动及防止其它损坏的必要措施。中标人应承担由于其包装或防护措施不妥而引起的货物锈蚀、损坏和丢失等任何损失造成的责任或费用。</w:t>
      </w:r>
    </w:p>
    <w:p w14:paraId="138C977B">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中标人提供的产品涉及商品包装和快递包装的,应按照《商品包装政府采购需求标准(试行)》、《快递包装政府采购需求标准(试行)》(财办库(2020)123号)的要求进行产品及相关</w:t>
      </w:r>
    </w:p>
    <w:p w14:paraId="13D81513">
      <w:pPr>
        <w:pStyle w:val="12"/>
        <w:keepNext w:val="0"/>
        <w:keepLines w:val="0"/>
        <w:pageBreakBefore w:val="0"/>
        <w:widowControl/>
        <w:kinsoku/>
        <w:wordWrap/>
        <w:overflowPunct/>
        <w:topLinePunct w:val="0"/>
        <w:autoSpaceDE/>
        <w:autoSpaceDN/>
        <w:bidi w:val="0"/>
        <w:adjustRightInd/>
        <w:snapToGrid/>
        <w:spacing w:line="360" w:lineRule="auto"/>
        <w:textAlignment w:val="auto"/>
        <w:outlineLvl w:val="3"/>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快递服务的包装。</w:t>
      </w:r>
    </w:p>
    <w:p w14:paraId="110A8A52">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2.运输:选择运输风险小、运费低、距离短的运输路线。运杂费全部包含在本项目投标报价中，包括生产厂到施工现场所需的装卸、运输(含保险费)、现场保管费、二次倒运费、吊装费等费用。</w:t>
      </w:r>
    </w:p>
    <w:p w14:paraId="579404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第三条</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质量标准</w:t>
      </w:r>
    </w:p>
    <w:p w14:paraId="51472A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严格按照国家质量执行标准。</w:t>
      </w:r>
    </w:p>
    <w:p w14:paraId="0F6608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第四条</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合同价款及支付方式</w:t>
      </w:r>
    </w:p>
    <w:p w14:paraId="36E45B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1.合同价款包括安装、调试正常运行、验收合格后的价格(含保修费、零备件和运杂费、保险费、安装费、验收费、人员培训费、关税及进口环节增值税等所有税费及其它一切费用</w:t>
      </w:r>
    </w:p>
    <w:p w14:paraId="397DF4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2.支付方式:项目完成交货且验收合格后，达到付款条件起30日内，支付合同总金额的 100.00%。</w:t>
      </w:r>
    </w:p>
    <w:p w14:paraId="0BFDF4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3.结算方式:银行转账</w:t>
      </w:r>
      <w:r>
        <w:rPr>
          <w:rFonts w:hint="eastAsia" w:ascii="仿宋" w:hAnsi="仿宋" w:eastAsia="仿宋" w:cs="仿宋"/>
          <w:sz w:val="24"/>
          <w:szCs w:val="24"/>
          <w:lang w:val="en-US" w:eastAsia="zh-CN"/>
        </w:rPr>
        <w:t>,一次性付清</w:t>
      </w:r>
      <w:r>
        <w:rPr>
          <w:rFonts w:hint="eastAsia" w:ascii="仿宋" w:hAnsi="仿宋" w:eastAsia="仿宋" w:cs="仿宋"/>
          <w:sz w:val="24"/>
          <w:szCs w:val="24"/>
        </w:rPr>
        <w:t>。</w:t>
      </w:r>
    </w:p>
    <w:p w14:paraId="2F2340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4.结算单位:由甲方负责结算，乙方须向甲方出具合法有效的完税发票，甲方进行支付结算。</w:t>
      </w:r>
    </w:p>
    <w:p w14:paraId="529C06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rPr>
        <w:t>第五条</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验收标准</w:t>
      </w:r>
      <w:r>
        <w:rPr>
          <w:rFonts w:hint="eastAsia" w:ascii="仿宋" w:hAnsi="仿宋" w:eastAsia="仿宋" w:cs="仿宋"/>
          <w:b/>
          <w:bCs/>
          <w:sz w:val="24"/>
          <w:szCs w:val="24"/>
          <w:lang w:val="en-US" w:eastAsia="zh-CN"/>
        </w:rPr>
        <w:t>和方法</w:t>
      </w:r>
    </w:p>
    <w:p w14:paraId="0B18B92E">
      <w:pPr>
        <w:pStyle w:val="12"/>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采购包1：</w:t>
      </w:r>
    </w:p>
    <w:p w14:paraId="34A89D1F">
      <w:pPr>
        <w:pStyle w:val="12"/>
        <w:keepNext w:val="0"/>
        <w:keepLines w:val="0"/>
        <w:pageBreakBefore w:val="0"/>
        <w:widowControl/>
        <w:kinsoku/>
        <w:wordWrap/>
        <w:overflowPunct/>
        <w:topLinePunct w:val="0"/>
        <w:autoSpaceDE/>
        <w:autoSpaceDN/>
        <w:bidi w:val="0"/>
        <w:adjustRightInd/>
        <w:snapToGrid/>
        <w:ind w:firstLine="480" w:firstLineChars="200"/>
        <w:textAlignment w:val="auto"/>
        <w:outlineLvl w:val="3"/>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1、验收:货物到达交货地点后，由使用单位根据合同对货物(设备)的名称、品牌、规格、型号、产地、数量进行检查。验收合格填写项目移交单，双方签字盖章。</w:t>
      </w:r>
    </w:p>
    <w:p w14:paraId="6F3630A0">
      <w:pPr>
        <w:pStyle w:val="12"/>
        <w:keepNext w:val="0"/>
        <w:keepLines w:val="0"/>
        <w:pageBreakBefore w:val="0"/>
        <w:widowControl/>
        <w:kinsoku/>
        <w:wordWrap/>
        <w:overflowPunct/>
        <w:topLinePunct w:val="0"/>
        <w:autoSpaceDE/>
        <w:autoSpaceDN/>
        <w:bidi w:val="0"/>
        <w:adjustRightInd/>
        <w:snapToGrid/>
        <w:ind w:firstLine="480" w:firstLineChars="200"/>
        <w:textAlignment w:val="auto"/>
        <w:outlineLvl w:val="3"/>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2、验收依据:</w:t>
      </w:r>
    </w:p>
    <w:p w14:paraId="3EBEAD42">
      <w:pPr>
        <w:pStyle w:val="12"/>
        <w:keepNext w:val="0"/>
        <w:keepLines w:val="0"/>
        <w:pageBreakBefore w:val="0"/>
        <w:widowControl/>
        <w:kinsoku/>
        <w:wordWrap/>
        <w:overflowPunct/>
        <w:topLinePunct w:val="0"/>
        <w:autoSpaceDE/>
        <w:autoSpaceDN/>
        <w:bidi w:val="0"/>
        <w:adjustRightInd/>
        <w:snapToGrid/>
        <w:ind w:firstLine="480" w:firstLineChars="200"/>
        <w:textAlignment w:val="auto"/>
        <w:outlineLvl w:val="3"/>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(1)招标文件、中标人的投标文件、澄清表(如有):</w:t>
      </w:r>
    </w:p>
    <w:p w14:paraId="7ED03B8C">
      <w:pPr>
        <w:pStyle w:val="12"/>
        <w:keepNext w:val="0"/>
        <w:keepLines w:val="0"/>
        <w:pageBreakBefore w:val="0"/>
        <w:widowControl/>
        <w:kinsoku/>
        <w:wordWrap/>
        <w:overflowPunct/>
        <w:topLinePunct w:val="0"/>
        <w:autoSpaceDE/>
        <w:autoSpaceDN/>
        <w:bidi w:val="0"/>
        <w:adjustRightInd/>
        <w:snapToGrid/>
        <w:ind w:firstLine="480" w:firstLineChars="200"/>
        <w:textAlignment w:val="auto"/>
        <w:outlineLvl w:val="3"/>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(2)本合同及附件文本;</w:t>
      </w:r>
    </w:p>
    <w:p w14:paraId="3C1E2526">
      <w:pPr>
        <w:pStyle w:val="12"/>
        <w:keepNext w:val="0"/>
        <w:keepLines w:val="0"/>
        <w:pageBreakBefore w:val="0"/>
        <w:widowControl/>
        <w:kinsoku/>
        <w:wordWrap/>
        <w:overflowPunct/>
        <w:topLinePunct w:val="0"/>
        <w:autoSpaceDE/>
        <w:autoSpaceDN/>
        <w:bidi w:val="0"/>
        <w:adjustRightInd/>
        <w:snapToGrid/>
        <w:ind w:firstLine="480" w:firstLineChars="200"/>
        <w:textAlignment w:val="auto"/>
        <w:outlineLvl w:val="3"/>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(3)合同签订时国家及行业现行的标准和技术规范。</w:t>
      </w:r>
    </w:p>
    <w:p w14:paraId="253F8D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第六条  知识产权(若有)</w:t>
      </w:r>
    </w:p>
    <w:p w14:paraId="072914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乙方应保证所提供的服务或其任何一部分均不会侵犯任何第三方的专利权、商标权或著作权。</w:t>
      </w:r>
    </w:p>
    <w:p w14:paraId="7E4443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第七条  双方的权利和义务</w:t>
      </w:r>
    </w:p>
    <w:p w14:paraId="3071B6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（一）甲方的权利与义务</w:t>
      </w:r>
    </w:p>
    <w:p w14:paraId="145CDA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甲方有权要求乙方供货的项目内容符合国家相关规范，符合国家验收标准，能够通过国家验收。</w:t>
      </w:r>
    </w:p>
    <w:p w14:paraId="084ADA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甲方有权要求乙方配合甲方完成所采购项目内容的预验收工作以及正式验收工作。甲方应按招标文件的需求进行核实，如发现不符合合同规定或短缺，及时提出，甲方在收到货后，组织人员按提供的技术参数指标进行验收。</w:t>
      </w:r>
    </w:p>
    <w:p w14:paraId="0F0379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甲方有权要求乙方提供的产品所涉及的第三方权利进行免责。</w:t>
      </w:r>
    </w:p>
    <w:p w14:paraId="003231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甲方有义务保证按合同所规定的内容及时间支付乙方相关费用。</w:t>
      </w:r>
    </w:p>
    <w:p w14:paraId="4FBFA5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乙方不能按甲方要求及时供货，甲方有单方解除合同的权利。解除合同的同时，甲方有权利与评标报告中排名第二的供应商签订新的供货合同。</w:t>
      </w:r>
    </w:p>
    <w:p w14:paraId="45DCA9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w:t>
      </w:r>
      <w:r>
        <w:rPr>
          <w:rFonts w:hint="eastAsia" w:ascii="仿宋" w:hAnsi="仿宋" w:eastAsia="仿宋" w:cs="仿宋"/>
          <w:sz w:val="24"/>
          <w:szCs w:val="24"/>
        </w:rPr>
        <w:t>因乙方原因供货延误，给甲方造成损失或被第三方要求索赔的，乙方应全额承担。</w:t>
      </w:r>
    </w:p>
    <w:p w14:paraId="50D1CE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（二）乙方的权利与义务</w:t>
      </w:r>
    </w:p>
    <w:p w14:paraId="116625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乙方应按本合同的规定供货，乙方所提供的货物，在运输及安装施工全过程中的安全由乙方负责。负责产品安装与调试在合同约定的时间完工，并保证产品质量。</w:t>
      </w:r>
    </w:p>
    <w:p w14:paraId="628FBC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乙方有义务配合甲方参与项目的现场安装及调试过程、预验收、正式竣工验收工作，确保所供货物必须是采购需求货物，并符合本项目国家现行标准。</w:t>
      </w:r>
    </w:p>
    <w:p w14:paraId="0E7C90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乙方产品进场时应充分了解甲方的现场各项管理标准文件，并在进场后全面服从甲方的管理制度、管理细则等。</w:t>
      </w:r>
    </w:p>
    <w:p w14:paraId="0E01F3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遵守产品安装作业的有关规定，做好作业现场安全管理；接受甲方现场管理人员的监督和检查，保证作业质量和安全文明作业。</w:t>
      </w:r>
    </w:p>
    <w:p w14:paraId="2496E0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按甲方指定地点将货物码放整齐，及时清运过程中产生的垃圾，保持现场整洁。</w:t>
      </w:r>
    </w:p>
    <w:p w14:paraId="23C96D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w:t>
      </w:r>
      <w:r>
        <w:rPr>
          <w:rFonts w:hint="eastAsia" w:ascii="仿宋" w:hAnsi="仿宋" w:eastAsia="仿宋" w:cs="仿宋"/>
          <w:sz w:val="24"/>
          <w:szCs w:val="24"/>
        </w:rPr>
        <w:t>项目中所涉及的所有相关政府部门审批手续全部由乙方协调办理，且支付相关费用，甲方不再办理其相关手续及支付相关费用。</w:t>
      </w:r>
    </w:p>
    <w:p w14:paraId="386E6F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第八条  违约责任</w:t>
      </w:r>
    </w:p>
    <w:p w14:paraId="1DE55EF3">
      <w:pPr>
        <w:pStyle w:val="12"/>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按《中华人民共和国民法典》中的相关条款执行。</w:t>
      </w:r>
    </w:p>
    <w:p w14:paraId="2AD33074">
      <w:pPr>
        <w:pStyle w:val="12"/>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乙方交货每逾期一天，扣除乙方合同总价款的0.5%，迟交产品超过30天，甲方有权拒收产品。 </w:t>
      </w:r>
    </w:p>
    <w:p w14:paraId="2638EA82">
      <w:pPr>
        <w:pStyle w:val="12"/>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 </w:t>
      </w:r>
    </w:p>
    <w:p w14:paraId="2912E5F0">
      <w:pPr>
        <w:pStyle w:val="12"/>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任何一方因不可抗力原因不能履行协议时，应尽快通知对方，双方均设法补偿。如仍无法履约协议，可协商延缓或撤销协议，双方责任免除。</w:t>
      </w:r>
    </w:p>
    <w:p w14:paraId="1AA0A4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第九条  不可抗力事件处理</w:t>
      </w:r>
    </w:p>
    <w:p w14:paraId="489BA4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不可抗力情况下的免责约定，双方约定不可抗力情况包括：自然灾害、重大疫情、恶劣天气条件、政府行为、社会异常事件（包括罢工、政变、骚乱、游行等）等不能预见、不能避免并不能克服的客观情况。  </w:t>
      </w:r>
    </w:p>
    <w:p w14:paraId="63F65A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第十条  合同的变更和终止</w:t>
      </w:r>
    </w:p>
    <w:p w14:paraId="23671E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除《中华人民共和国政府采购法》第 49 条、第50条第二款规定的情形外，本合同一经签订，甲乙双方不得擅自变更、中止或终止合同。</w:t>
      </w:r>
    </w:p>
    <w:p w14:paraId="62E683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第十一条  解决合同纠纷的方式</w:t>
      </w:r>
    </w:p>
    <w:p w14:paraId="71FAC41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1.在执行本合同中发生的或与本合同有关的争端，双方应通过友好协商解决,经协商在</w:t>
      </w:r>
      <w:r>
        <w:rPr>
          <w:rFonts w:hint="eastAsia" w:ascii="仿宋" w:hAnsi="仿宋" w:eastAsia="仿宋" w:cs="仿宋"/>
          <w:sz w:val="24"/>
          <w:szCs w:val="24"/>
          <w:u w:val="single"/>
          <w:lang w:val="en-US" w:eastAsia="zh-CN"/>
        </w:rPr>
        <w:t xml:space="preserve">  30</w:t>
      </w:r>
      <w:r>
        <w:rPr>
          <w:rFonts w:hint="eastAsia" w:ascii="仿宋" w:hAnsi="仿宋" w:eastAsia="仿宋" w:cs="仿宋"/>
          <w:sz w:val="24"/>
          <w:szCs w:val="24"/>
        </w:rPr>
        <w:t>天内不能达成协议时，则采取以下第___种方式解决争议:</w:t>
      </w:r>
    </w:p>
    <w:p w14:paraId="54FE9D1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(1)向甲方所在地有管辖权的人民法院提起诉讼;</w:t>
      </w:r>
    </w:p>
    <w:p w14:paraId="4C7A82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(2)向西安仲裁委员会按其仲裁规则申请仲裁。</w:t>
      </w:r>
    </w:p>
    <w:p w14:paraId="270893F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2.在仲裁期间，本合同应继续履行。</w:t>
      </w:r>
    </w:p>
    <w:p w14:paraId="4DD90B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第十二条  合同生效及其他</w:t>
      </w:r>
    </w:p>
    <w:p w14:paraId="347CD3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1.合同经双方法定代表人(单位负责人)或授权委托代理人签名并加盖单位公章后生效。</w:t>
      </w:r>
    </w:p>
    <w:p w14:paraId="4822739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2.合同执行中涉及采购资金和采购内容修改或补充的，须经政府采购监管部门审批,并签书面补充协议报政府采购</w:t>
      </w:r>
    </w:p>
    <w:p w14:paraId="37ECB7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监督管理部门备案，方可作为主合同不可分割的一部分。</w:t>
      </w:r>
    </w:p>
    <w:p w14:paraId="0A0EAC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3.本合同一式</w:t>
      </w:r>
      <w:r>
        <w:rPr>
          <w:rFonts w:hint="eastAsia" w:ascii="仿宋" w:hAnsi="仿宋" w:eastAsia="仿宋" w:cs="仿宋"/>
          <w:sz w:val="24"/>
          <w:szCs w:val="24"/>
          <w:u w:val="single"/>
        </w:rPr>
        <w:t>陆</w:t>
      </w:r>
      <w:r>
        <w:rPr>
          <w:rFonts w:hint="eastAsia" w:ascii="仿宋" w:hAnsi="仿宋" w:eastAsia="仿宋" w:cs="仿宋"/>
          <w:sz w:val="24"/>
          <w:szCs w:val="24"/>
        </w:rPr>
        <w:t>份，自双方签章之日起起效。甲方</w:t>
      </w:r>
      <w:r>
        <w:rPr>
          <w:rFonts w:hint="eastAsia" w:ascii="仿宋" w:hAnsi="仿宋" w:eastAsia="仿宋" w:cs="仿宋"/>
          <w:sz w:val="24"/>
          <w:szCs w:val="24"/>
          <w:u w:val="single"/>
        </w:rPr>
        <w:t>贰</w:t>
      </w:r>
      <w:r>
        <w:rPr>
          <w:rFonts w:hint="eastAsia" w:ascii="仿宋" w:hAnsi="仿宋" w:eastAsia="仿宋" w:cs="仿宋"/>
          <w:sz w:val="24"/>
          <w:szCs w:val="24"/>
        </w:rPr>
        <w:t>份，乙方</w:t>
      </w:r>
      <w:r>
        <w:rPr>
          <w:rFonts w:hint="eastAsia" w:ascii="仿宋" w:hAnsi="仿宋" w:eastAsia="仿宋" w:cs="仿宋"/>
          <w:sz w:val="24"/>
          <w:szCs w:val="24"/>
          <w:u w:val="single"/>
        </w:rPr>
        <w:t>贰</w:t>
      </w:r>
      <w:r>
        <w:rPr>
          <w:rFonts w:hint="eastAsia" w:ascii="仿宋" w:hAnsi="仿宋" w:eastAsia="仿宋" w:cs="仿宋"/>
          <w:sz w:val="24"/>
          <w:szCs w:val="24"/>
        </w:rPr>
        <w:t>份，</w:t>
      </w:r>
      <w:r>
        <w:rPr>
          <w:rFonts w:hint="eastAsia" w:ascii="仿宋" w:hAnsi="仿宋" w:eastAsia="仿宋" w:cs="仿宋"/>
          <w:sz w:val="24"/>
          <w:szCs w:val="24"/>
          <w:lang w:val="en-US" w:eastAsia="zh-CN"/>
        </w:rPr>
        <w:t>代理</w:t>
      </w:r>
      <w:r>
        <w:rPr>
          <w:rFonts w:hint="eastAsia" w:ascii="仿宋" w:hAnsi="仿宋" w:eastAsia="仿宋" w:cs="仿宋"/>
          <w:sz w:val="24"/>
          <w:szCs w:val="24"/>
        </w:rPr>
        <w:t>公司</w:t>
      </w:r>
      <w:r>
        <w:rPr>
          <w:rFonts w:hint="eastAsia" w:ascii="仿宋" w:hAnsi="仿宋" w:eastAsia="仿宋" w:cs="仿宋"/>
          <w:sz w:val="24"/>
          <w:szCs w:val="24"/>
          <w:u w:val="single"/>
        </w:rPr>
        <w:t>壹</w:t>
      </w:r>
      <w:r>
        <w:rPr>
          <w:rFonts w:hint="eastAsia" w:ascii="仿宋" w:hAnsi="仿宋" w:eastAsia="仿宋" w:cs="仿宋"/>
          <w:sz w:val="24"/>
          <w:szCs w:val="24"/>
        </w:rPr>
        <w:t>份，同级财政部门备案</w:t>
      </w:r>
      <w:r>
        <w:rPr>
          <w:rFonts w:hint="eastAsia" w:ascii="仿宋" w:hAnsi="仿宋" w:eastAsia="仿宋" w:cs="仿宋"/>
          <w:sz w:val="24"/>
          <w:szCs w:val="24"/>
          <w:u w:val="single"/>
        </w:rPr>
        <w:t>壹</w:t>
      </w:r>
      <w:r>
        <w:rPr>
          <w:rFonts w:hint="eastAsia" w:ascii="仿宋" w:hAnsi="仿宋" w:eastAsia="仿宋" w:cs="仿宋"/>
          <w:sz w:val="24"/>
          <w:szCs w:val="24"/>
        </w:rPr>
        <w:t>份，具有同等法律效力。</w:t>
      </w:r>
    </w:p>
    <w:p w14:paraId="015C3E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第十四条附件</w:t>
      </w:r>
    </w:p>
    <w:p w14:paraId="45AC71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招标</w:t>
      </w:r>
      <w:r>
        <w:rPr>
          <w:rFonts w:hint="eastAsia" w:ascii="仿宋" w:hAnsi="仿宋" w:eastAsia="仿宋" w:cs="仿宋"/>
          <w:sz w:val="24"/>
          <w:szCs w:val="24"/>
        </w:rPr>
        <w:t>文件</w:t>
      </w:r>
    </w:p>
    <w:p w14:paraId="2D0AD4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rPr>
        <w:t>2.修改澄清文件</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如有</w:t>
      </w:r>
      <w:r>
        <w:rPr>
          <w:rFonts w:hint="eastAsia" w:ascii="仿宋" w:hAnsi="仿宋" w:eastAsia="仿宋" w:cs="仿宋"/>
          <w:sz w:val="24"/>
          <w:szCs w:val="24"/>
          <w:lang w:eastAsia="zh-CN"/>
        </w:rPr>
        <w:t>）</w:t>
      </w:r>
    </w:p>
    <w:p w14:paraId="5097318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投标</w:t>
      </w:r>
      <w:r>
        <w:rPr>
          <w:rFonts w:hint="eastAsia" w:ascii="仿宋" w:hAnsi="仿宋" w:eastAsia="仿宋" w:cs="仿宋"/>
          <w:sz w:val="24"/>
          <w:szCs w:val="24"/>
        </w:rPr>
        <w:t>文件</w:t>
      </w:r>
    </w:p>
    <w:p w14:paraId="629FF37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中标</w:t>
      </w:r>
      <w:r>
        <w:rPr>
          <w:rFonts w:hint="eastAsia" w:ascii="仿宋" w:hAnsi="仿宋" w:eastAsia="仿宋" w:cs="仿宋"/>
          <w:sz w:val="24"/>
          <w:szCs w:val="24"/>
        </w:rPr>
        <w:t>通知书</w:t>
      </w:r>
    </w:p>
    <w:p w14:paraId="4775D8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5.其他</w:t>
      </w:r>
    </w:p>
    <w:p w14:paraId="3621AD52">
      <w:pPr>
        <w:pStyle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以下无正文</w:t>
      </w:r>
      <w:r>
        <w:rPr>
          <w:rFonts w:hint="eastAsia" w:ascii="仿宋" w:hAnsi="仿宋" w:eastAsia="仿宋" w:cs="仿宋"/>
          <w:sz w:val="24"/>
          <w:szCs w:val="24"/>
          <w:lang w:eastAsia="zh-CN"/>
        </w:rPr>
        <w:t>）</w:t>
      </w:r>
    </w:p>
    <w:p w14:paraId="6A49F162">
      <w:pPr>
        <w:rPr>
          <w:rFonts w:hint="eastAsia" w:ascii="仿宋" w:hAnsi="仿宋" w:eastAsia="仿宋" w:cs="仿宋"/>
          <w:sz w:val="24"/>
          <w:szCs w:val="24"/>
          <w:lang w:eastAsia="zh-CN"/>
        </w:rPr>
      </w:pPr>
      <w:r>
        <w:rPr>
          <w:rFonts w:hint="eastAsia" w:ascii="仿宋" w:hAnsi="仿宋" w:eastAsia="仿宋" w:cs="仿宋"/>
          <w:sz w:val="24"/>
          <w:szCs w:val="24"/>
          <w:lang w:eastAsia="zh-CN"/>
        </w:rPr>
        <w:br w:type="page"/>
      </w:r>
    </w:p>
    <w:p w14:paraId="5D0C35BF">
      <w:pPr>
        <w:pStyle w:val="9"/>
        <w:rPr>
          <w:rFonts w:hint="eastAsia" w:ascii="仿宋" w:hAnsi="仿宋" w:eastAsia="仿宋" w:cs="仿宋"/>
          <w:sz w:val="24"/>
          <w:szCs w:val="24"/>
          <w:lang w:eastAsia="zh-CN"/>
        </w:rPr>
      </w:pPr>
    </w:p>
    <w:p w14:paraId="442618F4">
      <w:pPr>
        <w:keepNext/>
        <w:keepLines/>
        <w:numPr>
          <w:ilvl w:val="0"/>
          <w:numId w:val="0"/>
        </w:numPr>
        <w:spacing w:line="360" w:lineRule="auto"/>
        <w:ind w:leftChars="0"/>
        <w:jc w:val="center"/>
        <w:outlineLvl w:val="2"/>
        <w:rPr>
          <w:rFonts w:hint="eastAsia" w:ascii="仿宋" w:hAnsi="仿宋" w:eastAsia="仿宋" w:cs="仿宋"/>
          <w:sz w:val="24"/>
          <w:szCs w:val="24"/>
        </w:rPr>
      </w:pPr>
    </w:p>
    <w:p w14:paraId="55CFF8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采购人：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（盖章）                  供应商：</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（盖章）         </w:t>
      </w:r>
    </w:p>
    <w:p w14:paraId="1DB8058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地  址：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186AFF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邮政编码：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2FD549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法定代表人或其授权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法定代表人或其授权 </w:t>
      </w:r>
    </w:p>
    <w:p w14:paraId="19AC425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的代理人：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（签字）                 的代理人：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（签字）           </w:t>
      </w:r>
    </w:p>
    <w:p w14:paraId="684B2B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开户银行：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19A2DF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账号：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账号：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B2C96A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电话：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F3105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传真：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7E5DB01">
      <w:pPr>
        <w:rPr>
          <w:rFonts w:hint="eastAsia" w:ascii="仿宋" w:hAnsi="仿宋" w:eastAsia="仿宋" w:cs="仿宋"/>
          <w:sz w:val="24"/>
          <w:szCs w:val="24"/>
        </w:rPr>
      </w:pPr>
      <w:r>
        <w:rPr>
          <w:rFonts w:hint="eastAsia" w:ascii="仿宋" w:hAnsi="仿宋" w:eastAsia="仿宋" w:cs="仿宋"/>
          <w:sz w:val="24"/>
          <w:szCs w:val="24"/>
        </w:rPr>
        <w:t xml:space="preserve">电子邮箱：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rPr>
        <w:br w:type="page"/>
      </w:r>
    </w:p>
    <w:p w14:paraId="4ECECDBA">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FC139"/>
    <w:multiLevelType w:val="singleLevel"/>
    <w:tmpl w:val="C4FFC13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C15F3"/>
    <w:rsid w:val="34DC1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6">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7">
    <w:name w:val="heading 2"/>
    <w:basedOn w:val="1"/>
    <w:next w:val="8"/>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pPr>
  </w:style>
  <w:style w:type="paragraph" w:styleId="4">
    <w:name w:val="Body Text First Indent 2"/>
    <w:basedOn w:val="5"/>
    <w:next w:val="1"/>
    <w:unhideWhenUsed/>
    <w:qFormat/>
    <w:uiPriority w:val="0"/>
    <w:pPr>
      <w:ind w:firstLine="420"/>
    </w:pPr>
  </w:style>
  <w:style w:type="paragraph" w:styleId="5">
    <w:name w:val="Body Text Indent"/>
    <w:basedOn w:val="1"/>
    <w:next w:val="1"/>
    <w:qFormat/>
    <w:uiPriority w:val="0"/>
    <w:pPr>
      <w:widowControl/>
      <w:ind w:firstLine="652" w:firstLineChars="233"/>
    </w:pPr>
    <w:rPr>
      <w:rFonts w:ascii="Times New Roman"/>
      <w:sz w:val="28"/>
    </w:rPr>
  </w:style>
  <w:style w:type="paragraph" w:styleId="8">
    <w:name w:val="Normal Indent"/>
    <w:basedOn w:val="1"/>
    <w:unhideWhenUsed/>
    <w:qFormat/>
    <w:uiPriority w:val="99"/>
    <w:pPr>
      <w:spacing w:line="300" w:lineRule="auto"/>
      <w:ind w:firstLine="420" w:firstLineChars="200"/>
    </w:pPr>
    <w:rPr>
      <w:rFonts w:ascii="Times New Roman"/>
      <w:kern w:val="2"/>
      <w:sz w:val="21"/>
      <w:szCs w:val="24"/>
    </w:rPr>
  </w:style>
  <w:style w:type="paragraph" w:styleId="9">
    <w:name w:val="Block Text"/>
    <w:basedOn w:val="1"/>
    <w:qFormat/>
    <w:uiPriority w:val="0"/>
    <w:pPr>
      <w:spacing w:after="120" w:afterLines="0" w:afterAutospacing="0"/>
      <w:ind w:left="1440" w:leftChars="700" w:rightChars="700"/>
    </w:pPr>
    <w:rPr>
      <w:rFonts w:ascii="Times New Roman" w:hAnsi="Times New Roman" w:eastAsia="宋体" w:cs="Times New Roman"/>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2024-12-05T07:48:00Z</dcterms:created>
  <dc:creator>Rainy</dc:creator>
  <cp:lastModifiedBy>Rainy</cp:lastModifiedBy>
  <dcterms:modified xsi:type="dcterms:W3CDTF">2024-12-05T07:49:34Z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269A436C9C814C04AC8F96DA2E199DCD_11</vt:lpwstr>
  </property>
</Properties>
</file>