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农产品质量安全检测及标准化项目（种植业产品）项目农产品检测服务</w:t>
      </w:r>
    </w:p>
    <w:p>
      <w:pPr>
        <w:pStyle w:val="null3"/>
        <w:jc w:val="center"/>
        <w:outlineLvl w:val="2"/>
      </w:pPr>
      <w:r>
        <w:rPr>
          <w:b/>
          <w:sz w:val="28"/>
        </w:rPr>
        <w:t>采购项目编号：</w:t>
      </w:r>
      <w:r>
        <w:rPr>
          <w:b/>
          <w:sz w:val="28"/>
        </w:rPr>
        <w:t>ZHYLZB-FW-2024-0303</w:t>
      </w:r>
      <w:r>
        <w:br/>
      </w:r>
      <w:r>
        <w:br/>
      </w:r>
      <w:r>
        <w:br/>
      </w:r>
    </w:p>
    <w:p>
      <w:pPr>
        <w:pStyle w:val="null3"/>
        <w:jc w:val="center"/>
        <w:outlineLvl w:val="2"/>
      </w:pPr>
      <w:r>
        <w:rPr>
          <w:b/>
          <w:sz w:val="28"/>
        </w:rPr>
        <w:t>西安市长安区农产品质量安全检验监测中心</w:t>
      </w:r>
    </w:p>
    <w:p>
      <w:pPr>
        <w:pStyle w:val="null3"/>
        <w:jc w:val="center"/>
        <w:outlineLvl w:val="2"/>
      </w:pPr>
      <w:r>
        <w:rPr>
          <w:b/>
          <w:sz w:val="28"/>
        </w:rPr>
        <w:t>陕西中恒亿林管理咨询有限公司</w:t>
      </w:r>
      <w:r>
        <w:rPr>
          <w:b/>
          <w:sz w:val="28"/>
        </w:rPr>
        <w:t>共同编制</w:t>
      </w:r>
    </w:p>
    <w:p>
      <w:pPr>
        <w:pStyle w:val="null3"/>
        <w:jc w:val="center"/>
        <w:outlineLvl w:val="2"/>
      </w:pPr>
      <w:r>
        <w:rPr>
          <w:b/>
          <w:sz w:val="28"/>
        </w:rPr>
        <w:t>2024年03月20日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陕西中恒亿林管理咨询有限公司</w:t>
      </w:r>
      <w:r>
        <w:rPr/>
        <w:t>（以下简称“代理机构”）受</w:t>
      </w:r>
      <w:r>
        <w:rPr/>
        <w:t>西安市长安区农产品质量安全检验监测中心</w:t>
      </w:r>
      <w:r>
        <w:rPr/>
        <w:t>委托，拟对</w:t>
      </w:r>
      <w:r>
        <w:rPr/>
        <w:t>农产品质量安全检测及标准化项目（种植业产品）项目农产品检测服务</w:t>
      </w:r>
      <w:r>
        <w:rPr/>
        <w:t>采用竞争性磋商采购方式进行采购，兹邀请供应商参加本项目的竞争性磋商。</w:t>
      </w:r>
    </w:p>
    <w:p>
      <w:pPr>
        <w:pStyle w:val="null3"/>
        <w:outlineLvl w:val="2"/>
      </w:pPr>
      <w:r>
        <w:rPr>
          <w:b/>
          <w:sz w:val="28"/>
        </w:rPr>
        <w:t>一、项目编号：</w:t>
      </w:r>
      <w:r>
        <w:rPr>
          <w:b/>
          <w:sz w:val="28"/>
        </w:rPr>
        <w:t>ZHYLZB-FW-2024-0303</w:t>
      </w:r>
    </w:p>
    <w:p>
      <w:pPr>
        <w:pStyle w:val="null3"/>
        <w:outlineLvl w:val="2"/>
      </w:pPr>
      <w:r>
        <w:rPr>
          <w:b/>
          <w:sz w:val="28"/>
        </w:rPr>
        <w:t>二、项目名称：</w:t>
      </w:r>
      <w:r>
        <w:rPr>
          <w:b/>
          <w:sz w:val="28"/>
        </w:rPr>
        <w:t>农产品质量安全检测及标准化项目（种植业产品）项目农产品检测服务</w:t>
      </w:r>
    </w:p>
    <w:p>
      <w:pPr>
        <w:pStyle w:val="null3"/>
        <w:outlineLvl w:val="2"/>
      </w:pPr>
      <w:r>
        <w:rPr>
          <w:b/>
          <w:sz w:val="28"/>
        </w:rPr>
        <w:t>三、磋商项目简介</w:t>
      </w:r>
    </w:p>
    <w:p>
      <w:pPr>
        <w:pStyle w:val="null3"/>
        <w:ind w:firstLine="480"/>
      </w:pPr>
      <w:r>
        <w:rPr/>
        <w:t>农产品质量安全检测及标准化项目（种植业产品）项目农产品检测服务计划在西安市长安区域内，实施市级农产品检验检测，主要包括采购农产品样品及检测服务。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经审计的2022年度或2023年度的财务报告或提交磋商响应文件截止时间前六个月内其基本账户开户银行出具的资信证明（附开户许可证或开户备案证明）；其他组织和自然人提供银行出具的资信证明或财务报表；</w:t>
      </w:r>
    </w:p>
    <w:p>
      <w:pPr>
        <w:pStyle w:val="null3"/>
      </w:pPr>
      <w:r>
        <w:rPr/>
        <w:t>3、税收缴纳证明：提供响应文件递交截止日前一年内已缴存的至少一个月的纳税证明或完税证明。依法免税的供应商应提供相关文件证明；</w:t>
      </w:r>
    </w:p>
    <w:p>
      <w:pPr>
        <w:pStyle w:val="null3"/>
      </w:pPr>
      <w:r>
        <w:rPr/>
        <w:t>4、社会保障资金缴纳证明：提供磋商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5、专业技术能力的声明：提供具有履行本合同所必需的设备和专业技术能力的说明及承诺；(提供书面说明及承诺，加盖供应商公章)</w:t>
      </w:r>
    </w:p>
    <w:p>
      <w:pPr>
        <w:pStyle w:val="null3"/>
      </w:pPr>
      <w:r>
        <w:rPr/>
        <w:t>6、没有重大违法记录的书面声明：提供参加政府采购活动前三年内在经营活动中没有重大违法记录的书面声明。(提供书面声明，加盖供应商公章)</w:t>
      </w:r>
    </w:p>
    <w:p>
      <w:pPr>
        <w:pStyle w:val="null3"/>
      </w:pPr>
      <w:r>
        <w:rPr/>
        <w:t>7、法定代表人授权委托书：法定代表人授权书，法定代表人直接参加磋商只须提供法定代表人身份证明。(式样见竞争性磋商响应文件格式)</w:t>
      </w:r>
    </w:p>
    <w:p>
      <w:pPr>
        <w:pStyle w:val="null3"/>
      </w:pPr>
      <w:r>
        <w:rPr/>
        <w:t>8、资质证书：具备合法有效的CMA检验检测机构资质认定证书、CATL农产品质量安全检测机构考核合格证书；</w:t>
      </w:r>
    </w:p>
    <w:p>
      <w:pPr>
        <w:pStyle w:val="null3"/>
      </w:pPr>
      <w:r>
        <w:rPr/>
        <w:t>9、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w:t>
      </w:r>
    </w:p>
    <w:p>
      <w:pPr>
        <w:pStyle w:val="null3"/>
      </w:pPr>
      <w:r>
        <w:rPr/>
        <w:t>10、信用承诺：单位负责人为同一人或者存在直接控股、管理关系的不同供应商，不得参加同一合同项下的政府采购活动；(国家企业信用信息公示系统”网站进行查询)</w:t>
      </w:r>
    </w:p>
    <w:p>
      <w:pPr>
        <w:pStyle w:val="null3"/>
      </w:pPr>
      <w:r>
        <w:rPr/>
        <w:t>11、本项目不接受联合体磋商。：提供非联合体声明。</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经审计的2022年度或2023年度的财务报告或提交磋商响应文件截止时间前六个月内其基本账户开户银行出具的资信证明（附开户许可证或开户备案证明）；其他组织和自然人提供银行出具的资信证明或财务报表；</w:t>
      </w:r>
    </w:p>
    <w:p>
      <w:pPr>
        <w:pStyle w:val="null3"/>
      </w:pPr>
      <w:r>
        <w:rPr/>
        <w:t>3、税收缴纳证明：提供响应文件递交截止日前一年内已缴存的至少一个月的纳税证明或完税证明。依法免税的供应商应提供相关文件证明；</w:t>
      </w:r>
    </w:p>
    <w:p>
      <w:pPr>
        <w:pStyle w:val="null3"/>
      </w:pPr>
      <w:r>
        <w:rPr/>
        <w:t>4、社会保障资金缴纳证明：提供磋商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5、专业技术能力的声明：提供具有履行本合同所必需的设备和专业技术能力的说明及承诺；(提供书面说明及承诺，加盖供应商公章)</w:t>
      </w:r>
    </w:p>
    <w:p>
      <w:pPr>
        <w:pStyle w:val="null3"/>
      </w:pPr>
      <w:r>
        <w:rPr/>
        <w:t>6、没有重大违法记录的书面声明：提供参加政府采购活动前三年内在经营活动中没有重大违法记录的书面声明。(提供书面声明，加盖供应商公章)</w:t>
      </w:r>
    </w:p>
    <w:p>
      <w:pPr>
        <w:pStyle w:val="null3"/>
      </w:pPr>
      <w:r>
        <w:rPr/>
        <w:t>7、法定代表人授权委托书：法定代表人授权书，法定代表人直接参加磋商只须提供法定代表人身份证明。(式样见竞争性磋商响应文件格式)</w:t>
      </w:r>
    </w:p>
    <w:p>
      <w:pPr>
        <w:pStyle w:val="null3"/>
      </w:pPr>
      <w:r>
        <w:rPr/>
        <w:t>8、资质证书：具备合法有效的CMA检验检测机构资质认定证书、CATL农产品质量安全检测机构考核合格证书；</w:t>
      </w:r>
    </w:p>
    <w:p>
      <w:pPr>
        <w:pStyle w:val="null3"/>
      </w:pPr>
      <w:r>
        <w:rPr/>
        <w:t>9、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w:t>
      </w:r>
    </w:p>
    <w:p>
      <w:pPr>
        <w:pStyle w:val="null3"/>
      </w:pPr>
      <w:r>
        <w:rPr/>
        <w:t>10、信用承诺：单位负责人为同一人或者存在直接控股、管理关系的不同供应商，不得参加同一合同项下的政府采购活动；(国家企业信用信息公示系统”网站进行查询)</w:t>
      </w:r>
    </w:p>
    <w:p>
      <w:pPr>
        <w:pStyle w:val="null3"/>
      </w:pPr>
      <w:r>
        <w:rPr/>
        <w:t>11、本项目不接受联合体磋商。：提供非联合体声明。</w:t>
      </w:r>
    </w:p>
    <w:p>
      <w:pPr>
        <w:pStyle w:val="null3"/>
      </w:pPr>
      <w:r>
        <w:rPr/>
        <w:t>采购包3：</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经审计的2022年度或2023年度的财务报告或提交磋商响应文件截止时间前六个月内其基本账户开户银行出具的资信证明（附开户许可证或开户备案证明）；其他组织和自然人提供银行出具的资信证明或财务报表；</w:t>
      </w:r>
    </w:p>
    <w:p>
      <w:pPr>
        <w:pStyle w:val="null3"/>
      </w:pPr>
      <w:r>
        <w:rPr/>
        <w:t>3、税收缴纳证明：提供响应文件递交截止日前一年内已缴存的至少一个月的纳税证明或完税证明。依法免税的供应商应提供相关文件证明；</w:t>
      </w:r>
    </w:p>
    <w:p>
      <w:pPr>
        <w:pStyle w:val="null3"/>
      </w:pPr>
      <w:r>
        <w:rPr/>
        <w:t>4、社会保障资金缴纳证明：提供磋商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5、专业技术能力的声明：提供具有履行本合同所必需的设备和专业技术能力的说明及承诺；(提供书面说明及承诺，加盖供应商公章)</w:t>
      </w:r>
    </w:p>
    <w:p>
      <w:pPr>
        <w:pStyle w:val="null3"/>
      </w:pPr>
      <w:r>
        <w:rPr/>
        <w:t>6、没有重大违法记录的书面声明：提供参加政府采购活动前三年内在经营活动中没有重大违法记录的书面声明。(提供书面声明，加盖供应商公章)</w:t>
      </w:r>
    </w:p>
    <w:p>
      <w:pPr>
        <w:pStyle w:val="null3"/>
      </w:pPr>
      <w:r>
        <w:rPr/>
        <w:t>7、法定代表人授权委托书：法定代表人授权书，法定代表人直接参加磋商只须提供法定代表人身份证明。(式样见竞争性磋商响应文件格式)</w:t>
      </w:r>
    </w:p>
    <w:p>
      <w:pPr>
        <w:pStyle w:val="null3"/>
      </w:pPr>
      <w:r>
        <w:rPr/>
        <w:t>8、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w:t>
      </w:r>
    </w:p>
    <w:p>
      <w:pPr>
        <w:pStyle w:val="null3"/>
      </w:pPr>
      <w:r>
        <w:rPr/>
        <w:t>9、信用承诺：单位负责人为同一人或者存在直接控股、管理关系的不同供应商，不得参加同一合同项下的政府采购活动；(国家企业信用信息公示系统”网站进行查询)</w:t>
      </w:r>
    </w:p>
    <w:p>
      <w:pPr>
        <w:pStyle w:val="null3"/>
      </w:pPr>
      <w:r>
        <w:rPr/>
        <w:t>10、本项目不接受联合体磋商。：提供非联合体声明。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西安市长安区农产品质量安全检验监测中心</w:t>
      </w:r>
    </w:p>
    <w:p>
      <w:pPr>
        <w:pStyle w:val="null3"/>
      </w:pPr>
      <w:r>
        <w:rPr/>
        <w:t xml:space="preserve"> 地址： </w:t>
      </w:r>
      <w:r>
        <w:rPr/>
        <w:t>韦曲街办皂河路331号</w:t>
      </w:r>
    </w:p>
    <w:p>
      <w:pPr>
        <w:pStyle w:val="null3"/>
      </w:pPr>
      <w:r>
        <w:rPr/>
        <w:t xml:space="preserve"> 邮编： </w:t>
      </w:r>
      <w:r>
        <w:rPr/>
        <w:t>710100</w:t>
      </w:r>
    </w:p>
    <w:p>
      <w:pPr>
        <w:pStyle w:val="null3"/>
      </w:pPr>
      <w:r>
        <w:rPr/>
        <w:t xml:space="preserve"> 联系人： </w:t>
      </w:r>
      <w:r>
        <w:rPr/>
        <w:t>刘海峰</w:t>
      </w:r>
    </w:p>
    <w:p>
      <w:pPr>
        <w:pStyle w:val="null3"/>
      </w:pPr>
      <w:r>
        <w:rPr/>
        <w:t xml:space="preserve"> 联系电话： </w:t>
      </w:r>
      <w:r>
        <w:rPr/>
        <w:t>15829278188</w:t>
      </w:r>
    </w:p>
    <w:p>
      <w:pPr>
        <w:pStyle w:val="null3"/>
        <w:outlineLvl w:val="3"/>
      </w:pPr>
      <w:r>
        <w:rPr>
          <w:b/>
          <w:sz w:val="24"/>
        </w:rPr>
        <w:t>代理机构：</w:t>
      </w:r>
      <w:r>
        <w:rPr>
          <w:b/>
          <w:sz w:val="24"/>
        </w:rPr>
        <w:t>陕西中恒亿林管理咨询有限公司</w:t>
      </w:r>
    </w:p>
    <w:p>
      <w:pPr>
        <w:pStyle w:val="null3"/>
      </w:pPr>
      <w:r>
        <w:rPr/>
        <w:t xml:space="preserve"> 地址： </w:t>
      </w:r>
      <w:r>
        <w:rPr/>
        <w:t>陕西省西安市灞桥区陕西省西安市浐灞生态区谭家街道欧亚大道丝路国际创意梦工厂一期4号楼401室</w:t>
      </w:r>
    </w:p>
    <w:p>
      <w:pPr>
        <w:pStyle w:val="null3"/>
      </w:pPr>
      <w:r>
        <w:rPr/>
        <w:t xml:space="preserve"> 邮编： </w:t>
      </w:r>
      <w:r>
        <w:rPr/>
        <w:t>710000</w:t>
      </w:r>
    </w:p>
    <w:p>
      <w:pPr>
        <w:pStyle w:val="null3"/>
      </w:pPr>
      <w:r>
        <w:rPr/>
        <w:t xml:space="preserve"> 联系人： </w:t>
      </w:r>
      <w:r>
        <w:rPr/>
        <w:t>张胜驰、田柯</w:t>
      </w:r>
    </w:p>
    <w:p>
      <w:pPr>
        <w:pStyle w:val="null3"/>
      </w:pPr>
      <w:r>
        <w:rPr/>
        <w:t xml:space="preserve"> 联系电话： </w:t>
      </w:r>
      <w:r>
        <w:rPr/>
        <w:t>029-81702818</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采购包1：277,450.00元</w:t>
            </w:r>
          </w:p>
          <w:p>
            <w:pPr>
              <w:pStyle w:val="null3"/>
            </w:pPr>
            <w:r>
              <w:rPr/>
              <w:t>采购包2：232,500.00元</w:t>
            </w:r>
          </w:p>
          <w:p>
            <w:pPr>
              <w:pStyle w:val="null3"/>
            </w:pPr>
            <w:r>
              <w:rPr/>
              <w:t>采购包3：197,000.00元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参照《国家计委关于印发&lt;招标代理服务收费管理暂行办法&gt;的通知》(计价格〔2002〕1980号)、《国家发展改革委关于降低部分建设项目收费标准规范收费行为等有关问题的通知》(发改价格〔2011〕534号)等有关规定收费标准收取。如单一合同包代理服务费不足5000元的，按5000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西安市长安区农产品质量安全检验监测中心</w:t>
      </w:r>
      <w:r>
        <w:rPr/>
        <w:t>和</w:t>
      </w:r>
      <w:r>
        <w:rPr/>
        <w:t>陕西中恒亿林管理咨询有限公司</w:t>
      </w:r>
      <w:r>
        <w:rPr/>
        <w:t>享有。对磋商文件中供应商参加本次政府采购活动应当具备的条件，磋商项目技术、服务、商务及其他要求，评审细则及标准由</w:t>
      </w:r>
      <w:r>
        <w:rPr/>
        <w:t>西安市长安区农产品质量安全检验监测中心</w:t>
      </w:r>
      <w:r>
        <w:rPr/>
        <w:t>负责解释。除上述磋商文件内容，其他内容由</w:t>
      </w:r>
      <w:r>
        <w:rPr/>
        <w:t>陕西中恒亿林管理咨询有限公司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西安市长安区农产品质量安全检验监测中心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陕西中恒亿林管理咨询有限公司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供应商抽样工作要留有照片资料，在抽检工作完成后随检验报告一同递交采购人，并只可向采购人报告检验结果，未经采购人同意供应商不得私自向社会或被检单位透漏抽检相关信息。所有检测工作完毕后，由采购人签发《验收合格单》。 2.验收不合格的成交单位，必须在接到通知后5个日历日内确保验收工作符合甲方要求。若接到通知后7个日历日内验收仍不合格，采购人可提出索赔或取消与其签署的成交合同。采购人将把成交资格授予评审排序下一名的成交供应商。 3.验收依据 3.1合同文本及合同补充文件(条款)。 3.2竞争性磋商文件。 3.3成交单位的响应文件。 3.4相关的检验报告。 3.5国家或行业相应的标准、规范。</w:t>
      </w:r>
    </w:p>
    <w:p>
      <w:pPr>
        <w:pStyle w:val="null3"/>
      </w:pPr>
      <w:r>
        <w:rPr/>
        <w:t>采购包2：</w:t>
      </w:r>
    </w:p>
    <w:p>
      <w:pPr>
        <w:pStyle w:val="null3"/>
      </w:pPr>
      <w:r>
        <w:rPr/>
        <w:t>1.供应商抽样工作要留有照片资料，在抽检工作完成后随检验报告一同递交采购人，并只可向采购人报告检验结果，未经采购人同意供应商不得私自向社会或被检单位透漏抽检相关信息。所有检测工作完毕后，由采购人签发《验收合格单》。 2.验收不合格的成交单位，必须在接到通知后5个日历日内确保验收工作符合甲方要求。若接到通知后7个日历日内验收仍不合格，采购人可提出索赔或取消与其签署的成交合同。采购人将把成交资格授予评审排序下一名的成交供应商。 3.验收依据 3.1合同文本及合同补充文件(条款)。 3.2竞争性磋商文件。 3.3成交单位的响应文件。 3.4相关的检验报告。 3.5国家或行业相应的标准、规范。</w:t>
      </w:r>
    </w:p>
    <w:p>
      <w:pPr>
        <w:pStyle w:val="null3"/>
      </w:pPr>
      <w:r>
        <w:rPr/>
        <w:t>采购包3：</w:t>
      </w:r>
    </w:p>
    <w:p>
      <w:pPr>
        <w:pStyle w:val="null3"/>
      </w:pPr>
      <w:r>
        <w:rPr/>
        <w:t>完成对采购人实验室进行体系技术指导服务、检测技术指导服务、检测仪器设备维保服务、质量体系文件的编写、实验室检测能力提升服务，按规定的时间完成样品检测任务。按照《检验检测机构资质认定管理办法》、《检验检测机构资质认定评审准则》、《农产品质量安全检测机构考核办法》、《农产品质量安全检测机构考核评审细则》要求，使采购人实验室能够正常运转，符合实验室检验检测机构考核评审标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陕西中恒亿林管理咨询有限公司</w:t>
      </w:r>
      <w:r>
        <w:rPr/>
        <w:t xml:space="preserve"> 负责答复；供应商对除采购需求外的采购文件的询问、质疑由</w:t>
      </w:r>
      <w:r>
        <w:rPr/>
        <w:t>陕西中恒亿林管理咨询有限公司</w:t>
      </w:r>
      <w:r>
        <w:rPr/>
        <w:t xml:space="preserve"> 负责答复；供应商对采购过程、采购结果的询问、质疑由 </w:t>
      </w:r>
      <w:r>
        <w:rPr/>
        <w:t>陕西中恒亿林管理咨询有限公司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联系人：张胜驰、田柯</w:t>
      </w:r>
    </w:p>
    <w:p>
      <w:pPr>
        <w:pStyle w:val="null3"/>
      </w:pPr>
      <w:r>
        <w:rPr/>
        <w:t>联系电话：029-81702818</w:t>
      </w:r>
    </w:p>
    <w:p>
      <w:pPr>
        <w:pStyle w:val="null3"/>
      </w:pPr>
      <w:r>
        <w:rPr/>
        <w:t>地址：陕西省西安市灞桥区陕西省西安市浐灞生态区谭家街道欧亚大道丝路国际创意梦工厂一期4号楼401室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 xml:space="preserve"> 农产品质量安全检测及标准化项目（种植业产品）项目农产品检测服务于2023年9月创建实施，自建项以来各部门运转正常，但需委托第三方进行农产品定量检测、定性检测，、抽样费用、试剂耗材购买、仪器设备更新及实验室维护、检测设备鉴定校验、检测技术指导服务、实验室人员能力提升、检测业务培训、质量体系文件编写、抽样检测抽样检测配合，以确保项目顺利完结。</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277,450.00</w:t>
      </w:r>
    </w:p>
    <w:p>
      <w:pPr>
        <w:pStyle w:val="null3"/>
      </w:pPr>
      <w:r>
        <w:rPr/>
        <w:t>采购包最高限价（元）: 277,450.00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农产品质量安全检测及标准化（种植业产品）农产品检测服务</w:t>
            </w:r>
          </w:p>
        </w:tc>
        <w:tc>
          <w:tcPr>
            <w:tcW w:type="dxa" w:w="831"/>
          </w:tcPr>
          <w:p>
            <w:pPr>
              <w:pStyle w:val="null3"/>
              <w:jc w:val="right"/>
            </w:pPr>
            <w:r>
              <w:rPr/>
              <w:t>358.00</w:t>
            </w:r>
          </w:p>
        </w:tc>
        <w:tc>
          <w:tcPr>
            <w:tcW w:type="dxa" w:w="831"/>
          </w:tcPr>
          <w:p>
            <w:pPr>
              <w:pStyle w:val="null3"/>
              <w:jc w:val="right"/>
            </w:pPr>
            <w:r>
              <w:rPr/>
              <w:t>277,450.00</w:t>
            </w:r>
          </w:p>
        </w:tc>
        <w:tc>
          <w:tcPr>
            <w:tcW w:type="dxa" w:w="831"/>
          </w:tcPr>
          <w:p>
            <w:pPr>
              <w:pStyle w:val="null3"/>
            </w:pPr>
            <w:r>
              <w:rPr/>
              <w:t>批次</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232,500.00</w:t>
      </w:r>
    </w:p>
    <w:p>
      <w:pPr>
        <w:pStyle w:val="null3"/>
      </w:pPr>
      <w:r>
        <w:rPr/>
        <w:t>采购包最高限价（元）: 232,500.00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农产品质量安全检测及标准化（种植业产品）农产品检测服务</w:t>
            </w:r>
          </w:p>
        </w:tc>
        <w:tc>
          <w:tcPr>
            <w:tcW w:type="dxa" w:w="831"/>
          </w:tcPr>
          <w:p>
            <w:pPr>
              <w:pStyle w:val="null3"/>
              <w:jc w:val="right"/>
            </w:pPr>
            <w:r>
              <w:rPr/>
              <w:t>300.00</w:t>
            </w:r>
          </w:p>
        </w:tc>
        <w:tc>
          <w:tcPr>
            <w:tcW w:type="dxa" w:w="831"/>
          </w:tcPr>
          <w:p>
            <w:pPr>
              <w:pStyle w:val="null3"/>
              <w:jc w:val="right"/>
            </w:pPr>
            <w:r>
              <w:rPr/>
              <w:t>232,500.00</w:t>
            </w:r>
          </w:p>
        </w:tc>
        <w:tc>
          <w:tcPr>
            <w:tcW w:type="dxa" w:w="831"/>
          </w:tcPr>
          <w:p>
            <w:pPr>
              <w:pStyle w:val="null3"/>
            </w:pPr>
            <w:r>
              <w:rPr/>
              <w:t>批次</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197,000.00</w:t>
      </w:r>
    </w:p>
    <w:p>
      <w:pPr>
        <w:pStyle w:val="null3"/>
      </w:pPr>
      <w:r>
        <w:rPr/>
        <w:t>采购包最高限价（元）: 197,000.00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检测技术指导服务</w:t>
            </w:r>
          </w:p>
        </w:tc>
        <w:tc>
          <w:tcPr>
            <w:tcW w:type="dxa" w:w="831"/>
          </w:tcPr>
          <w:p>
            <w:pPr>
              <w:pStyle w:val="null3"/>
              <w:jc w:val="right"/>
            </w:pPr>
            <w:r>
              <w:rPr/>
              <w:t>1.00</w:t>
            </w:r>
          </w:p>
        </w:tc>
        <w:tc>
          <w:tcPr>
            <w:tcW w:type="dxa" w:w="831"/>
          </w:tcPr>
          <w:p>
            <w:pPr>
              <w:pStyle w:val="null3"/>
              <w:jc w:val="right"/>
            </w:pPr>
            <w:r>
              <w:rPr/>
              <w:t>197,000.00</w:t>
            </w:r>
          </w:p>
        </w:tc>
        <w:tc>
          <w:tcPr>
            <w:tcW w:type="dxa" w:w="831"/>
          </w:tcPr>
          <w:p>
            <w:pPr>
              <w:pStyle w:val="null3"/>
            </w:pPr>
            <w:r>
              <w:rPr/>
              <w:t>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标的名称：农产品质量安全检测及标准化（种植业产品）农产品检测服务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color w:val="0C0C0C"/>
                <w:sz w:val="24"/>
              </w:rPr>
              <w:t>种植业产品检测项目：委托第三方对种植业产品进行治疗安全检测，</w:t>
            </w:r>
            <w:r>
              <w:rPr>
                <w:rFonts w:ascii="仿宋" w:hAnsi="仿宋" w:cs="仿宋" w:eastAsia="仿宋"/>
                <w:color w:val="0C0C0C"/>
                <w:sz w:val="24"/>
              </w:rPr>
              <w:t>突出</w:t>
            </w:r>
            <w:r>
              <w:rPr>
                <w:rFonts w:ascii="仿宋" w:hAnsi="仿宋" w:cs="仿宋" w:eastAsia="仿宋"/>
                <w:color w:val="0C0C0C"/>
                <w:sz w:val="24"/>
              </w:rPr>
              <w:t>蔬菜、水果、</w:t>
            </w:r>
            <w:r>
              <w:rPr>
                <w:rFonts w:ascii="仿宋" w:hAnsi="仿宋" w:cs="仿宋" w:eastAsia="仿宋"/>
                <w:color w:val="0C0C0C"/>
                <w:sz w:val="24"/>
              </w:rPr>
              <w:t>食用菌等检测，扩大风险监测规模和小农户抽样比例，</w:t>
            </w:r>
            <w:r>
              <w:rPr>
                <w:rFonts w:ascii="仿宋" w:hAnsi="仿宋" w:cs="仿宋" w:eastAsia="仿宋"/>
                <w:color w:val="0C0C0C"/>
                <w:sz w:val="24"/>
              </w:rPr>
              <w:t>落实定量检测</w:t>
            </w:r>
            <w:r>
              <w:rPr>
                <w:rFonts w:ascii="仿宋" w:hAnsi="仿宋" w:cs="仿宋" w:eastAsia="仿宋"/>
                <w:color w:val="0C0C0C"/>
                <w:sz w:val="24"/>
              </w:rPr>
              <w:t>1008批次</w:t>
            </w:r>
            <w:r>
              <w:rPr>
                <w:rFonts w:ascii="仿宋" w:hAnsi="仿宋" w:cs="仿宋" w:eastAsia="仿宋"/>
                <w:color w:val="0C0C0C"/>
                <w:sz w:val="24"/>
              </w:rPr>
              <w:t>目标任务，定量检测</w:t>
            </w:r>
            <w:r>
              <w:rPr>
                <w:rFonts w:ascii="仿宋" w:hAnsi="仿宋" w:cs="仿宋" w:eastAsia="仿宋"/>
                <w:color w:val="0C0C0C"/>
                <w:sz w:val="24"/>
              </w:rPr>
              <w:t>6</w:t>
            </w:r>
            <w:r>
              <w:rPr>
                <w:rFonts w:ascii="仿宋" w:hAnsi="仿宋" w:cs="仿宋" w:eastAsia="仿宋"/>
                <w:color w:val="0C0C0C"/>
                <w:sz w:val="24"/>
              </w:rPr>
              <w:t>58</w:t>
            </w:r>
            <w:r>
              <w:rPr>
                <w:rFonts w:ascii="仿宋" w:hAnsi="仿宋" w:cs="仿宋" w:eastAsia="仿宋"/>
                <w:color w:val="0C0C0C"/>
                <w:sz w:val="24"/>
              </w:rPr>
              <w:t>批次（其中一包</w:t>
            </w:r>
            <w:r>
              <w:rPr>
                <w:rFonts w:ascii="仿宋" w:hAnsi="仿宋" w:cs="仿宋" w:eastAsia="仿宋"/>
                <w:color w:val="0C0C0C"/>
                <w:sz w:val="24"/>
              </w:rPr>
              <w:t>3</w:t>
            </w:r>
            <w:r>
              <w:rPr>
                <w:rFonts w:ascii="仿宋" w:hAnsi="仿宋" w:cs="仿宋" w:eastAsia="仿宋"/>
                <w:color w:val="0C0C0C"/>
                <w:sz w:val="24"/>
              </w:rPr>
              <w:t>58</w:t>
            </w:r>
            <w:r>
              <w:rPr>
                <w:rFonts w:ascii="仿宋" w:hAnsi="仿宋" w:cs="仿宋" w:eastAsia="仿宋"/>
                <w:color w:val="0C0C0C"/>
                <w:sz w:val="24"/>
              </w:rPr>
              <w:t>批次，二包</w:t>
            </w:r>
            <w:r>
              <w:rPr>
                <w:rFonts w:ascii="仿宋" w:hAnsi="仿宋" w:cs="仿宋" w:eastAsia="仿宋"/>
                <w:color w:val="0C0C0C"/>
                <w:sz w:val="24"/>
              </w:rPr>
              <w:t>300</w:t>
            </w:r>
            <w:r>
              <w:rPr>
                <w:rFonts w:ascii="仿宋" w:hAnsi="仿宋" w:cs="仿宋" w:eastAsia="仿宋"/>
                <w:color w:val="0C0C0C"/>
                <w:sz w:val="24"/>
              </w:rPr>
              <w:t>批次），确保风险监测的时效性、准确性。</w:t>
            </w:r>
            <w:r>
              <w:rPr>
                <w:rFonts w:ascii="仿宋" w:hAnsi="仿宋" w:cs="仿宋" w:eastAsia="仿宋"/>
                <w:b/>
                <w:color w:val="0C0C0C"/>
                <w:sz w:val="24"/>
              </w:rPr>
              <w:t>供应商应严格按照时间节点要求完成检测任务</w:t>
            </w:r>
            <w:r>
              <w:rPr>
                <w:rFonts w:ascii="仿宋" w:hAnsi="仿宋" w:cs="仿宋" w:eastAsia="仿宋"/>
                <w:color w:val="0C0C0C"/>
                <w:sz w:val="24"/>
              </w:rPr>
              <w:t>。</w:t>
            </w:r>
            <w:r>
              <w:rPr>
                <w:rFonts w:ascii="仿宋" w:hAnsi="仿宋" w:cs="仿宋" w:eastAsia="仿宋"/>
                <w:color w:val="0C0C0C"/>
                <w:sz w:val="24"/>
              </w:rPr>
              <w:t>种植业产品监测项目和检测方法</w:t>
            </w:r>
            <w:r>
              <w:rPr>
                <w:rFonts w:ascii="仿宋" w:hAnsi="仿宋" w:cs="仿宋" w:eastAsia="仿宋"/>
                <w:color w:val="0C0C0C"/>
                <w:sz w:val="24"/>
              </w:rPr>
              <w:t>(定量检测)内容详见下表：</w:t>
            </w:r>
          </w:p>
          <w:tbl>
            <w:tblPr>
              <w:tblInd w:type="dxa" w:w="135"/>
              <w:tblBorders>
                <w:top w:val="none" w:color="000000" w:sz="4"/>
                <w:left w:val="none" w:color="000000" w:sz="4"/>
                <w:bottom w:val="none" w:color="000000" w:sz="4"/>
                <w:right w:val="none" w:color="000000" w:sz="4"/>
                <w:insideH w:val="none"/>
                <w:insideV w:val="none"/>
              </w:tblBorders>
            </w:tblPr>
            <w:tblGrid>
              <w:gridCol w:w="1874"/>
              <w:gridCol w:w="674"/>
            </w:tblGrid>
            <w:tr>
              <w:tc>
                <w:tcPr>
                  <w:tcW w:type="dxa" w:w="18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监测参数</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检测方法</w:t>
                  </w: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fangsong" w:hAnsi="fangsong" w:cs="fangsong" w:eastAsia="fangsong"/>
                      <w:color w:val="0C0C0C"/>
                      <w:sz w:val="24"/>
                    </w:rPr>
                    <w:t>禁用农药甲胺磷、对硫磷、甲基对硫磷、六六六、三氯杀螨醇；</w:t>
                  </w:r>
                </w:p>
                <w:p>
                  <w:pPr>
                    <w:pStyle w:val="null3"/>
                    <w:ind w:firstLine="560"/>
                    <w:jc w:val="both"/>
                  </w:pPr>
                  <w:r>
                    <w:rPr>
                      <w:rFonts w:ascii="fangsong" w:hAnsi="fangsong" w:cs="fangsong" w:eastAsia="fangsong"/>
                      <w:color w:val="0C0C0C"/>
                      <w:sz w:val="24"/>
                    </w:rPr>
                    <w:t>限用农药甲拌磷（包括甲拌磷砜和甲拌磷亚砜）、氧乐果、水胺硫磷、甲基异柳磷、克百威（包括3-羟基克百威)、涕灭威（包括涕灭威砜和涕灭威亚砜）、氟虫腈（包括氟甲腈、氟虫腈硫醚、氟虫腈砜）、毒死蜱、三唑磷、乐果、乙酰甲胺磷、灭多威、硫环磷、氯唑磷、内吸磷；</w:t>
                  </w:r>
                </w:p>
                <w:p>
                  <w:pPr>
                    <w:pStyle w:val="null3"/>
                    <w:ind w:firstLine="560"/>
                    <w:jc w:val="both"/>
                  </w:pPr>
                  <w:r>
                    <w:rPr>
                      <w:rFonts w:ascii="fangsong" w:hAnsi="fangsong" w:cs="fangsong" w:eastAsia="fangsong"/>
                      <w:color w:val="0C0C0C"/>
                      <w:sz w:val="24"/>
                    </w:rPr>
                    <w:t>常规农药敌敌畏、杀螟硫磷、丙溴磷、马拉硫磷、亚胺硫磷、倍硫磷、辛硫磷、氯氰菊酯、氰戊菊酯、溴氰菊酯、甲氰菊酯、联苯菊酯、氯氟氰菊酯、氟氯氰菊酯、氯吡脲、噻苯隆、除虫脲、灭幼脲、吡虫啉、啶虫脒、哒螨灵、阿维菌素、甲氨基阿维菌素苯甲酸盐、虫螨腈、噻虫嗪、氟啶脲、异菌脲、五氯硝基苯、三唑酮、百菌清、腐霉利、乙烯菌核利、多菌灵、苯醚甲环唑、嘧霉胺、烯酰吗</w:t>
                  </w:r>
                  <w:r>
                    <w:rPr>
                      <w:rFonts w:ascii="fangsong" w:hAnsi="fangsong" w:cs="fangsong" w:eastAsia="fangsong"/>
                      <w:color w:val="0C0C0C"/>
                      <w:sz w:val="24"/>
                    </w:rPr>
                    <w:t>啉</w:t>
                  </w:r>
                  <w:r>
                    <w:rPr>
                      <w:rFonts w:ascii="fangsong" w:hAnsi="fangsong" w:cs="fangsong" w:eastAsia="fangsong"/>
                      <w:color w:val="0C0C0C"/>
                      <w:sz w:val="24"/>
                    </w:rPr>
                    <w:t>、咪鲜胺、嘧菌酯、二甲戊灵、灭蝇胺、甲霜灵、霜霉威、多效唑、氯虫苯甲酰胺、氯菊酯（异构体之和）、醚菊酯、虫酰肼、吡唑醚菌酯、戊唑醇。</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color w:val="0C0C0C"/>
                      <w:sz w:val="24"/>
                    </w:rPr>
                    <w:t>按GB/T20769</w:t>
                  </w:r>
                  <w:r>
                    <w:rPr>
                      <w:rFonts w:ascii="fangsong" w:hAnsi="fangsong" w:cs="fangsong" w:eastAsia="fangsong"/>
                      <w:color w:val="0C0C0C"/>
                      <w:sz w:val="24"/>
                    </w:rPr>
                    <w:t>-2008或</w:t>
                  </w:r>
                </w:p>
                <w:p>
                  <w:pPr>
                    <w:pStyle w:val="null3"/>
                    <w:jc w:val="both"/>
                  </w:pPr>
                  <w:r>
                    <w:rPr>
                      <w:rFonts w:ascii="fangsong" w:hAnsi="fangsong" w:cs="fangsong" w:eastAsia="fangsong"/>
                      <w:color w:val="0C0C0C"/>
                      <w:sz w:val="24"/>
                    </w:rPr>
                    <w:t>BG/23200.113</w:t>
                  </w:r>
                  <w:r>
                    <w:rPr>
                      <w:rFonts w:ascii="fangsong" w:hAnsi="fangsong" w:cs="fangsong" w:eastAsia="fangsong"/>
                      <w:color w:val="0C0C0C"/>
                      <w:sz w:val="24"/>
                    </w:rPr>
                    <w:t>-2018</w:t>
                  </w:r>
                </w:p>
                <w:p>
                  <w:pPr>
                    <w:pStyle w:val="null3"/>
                    <w:jc w:val="both"/>
                  </w:pPr>
                  <w:r>
                    <w:rPr>
                      <w:rFonts w:ascii="fangsong" w:hAnsi="fangsong" w:cs="fangsong" w:eastAsia="fangsong"/>
                      <w:color w:val="0C0C0C"/>
                      <w:sz w:val="24"/>
                    </w:rPr>
                    <w:t>或GB23200.121</w:t>
                  </w:r>
                  <w:r>
                    <w:rPr>
                      <w:rFonts w:ascii="fangsong" w:hAnsi="fangsong" w:cs="fangsong" w:eastAsia="fangsong"/>
                      <w:color w:val="0C0C0C"/>
                      <w:sz w:val="24"/>
                    </w:rPr>
                    <w:t>-2021</w:t>
                  </w:r>
                </w:p>
                <w:p>
                  <w:pPr>
                    <w:pStyle w:val="null3"/>
                    <w:jc w:val="both"/>
                  </w:pPr>
                  <w:r>
                    <w:rPr>
                      <w:rFonts w:ascii="fangsong" w:hAnsi="fangsong" w:cs="fangsong" w:eastAsia="fangsong"/>
                      <w:color w:val="0C0C0C"/>
                      <w:sz w:val="24"/>
                    </w:rPr>
                    <w:t>或NY/T761</w:t>
                  </w:r>
                  <w:r>
                    <w:rPr>
                      <w:rFonts w:ascii="fangsong" w:hAnsi="fangsong" w:cs="fangsong" w:eastAsia="fangsong"/>
                      <w:color w:val="0C0C0C"/>
                      <w:sz w:val="24"/>
                    </w:rPr>
                    <w:t>-2008</w:t>
                  </w:r>
                  <w:r>
                    <w:rPr>
                      <w:rFonts w:ascii="fangsong" w:hAnsi="fangsong" w:cs="fangsong" w:eastAsia="fangsong"/>
                      <w:color w:val="0C0C0C"/>
                      <w:sz w:val="24"/>
                    </w:rPr>
                    <w:t>进行检测。</w:t>
                  </w:r>
                </w:p>
              </w:tc>
            </w:tr>
          </w:tbl>
          <w:p>
            <w:pPr>
              <w:pStyle w:val="null3"/>
              <w:jc w:val="both"/>
            </w:pPr>
            <w:r>
              <w:rPr>
                <w:rFonts w:ascii="仿宋" w:hAnsi="仿宋" w:cs="仿宋" w:eastAsia="仿宋"/>
                <w:color w:val="0C0C0C"/>
                <w:sz w:val="24"/>
              </w:rPr>
              <w:t>采购人委托具体事项：</w:t>
            </w:r>
          </w:p>
          <w:p>
            <w:pPr>
              <w:pStyle w:val="null3"/>
              <w:ind w:firstLine="480"/>
              <w:jc w:val="both"/>
            </w:pPr>
            <w:r>
              <w:rPr>
                <w:rFonts w:ascii="仿宋" w:hAnsi="仿宋" w:cs="仿宋" w:eastAsia="仿宋"/>
                <w:color w:val="0C0C0C"/>
                <w:sz w:val="24"/>
              </w:rPr>
              <w:t>1.按照有关法律法规和技术规范，承担本项目抽检工作。</w:t>
            </w:r>
          </w:p>
          <w:p>
            <w:pPr>
              <w:pStyle w:val="null3"/>
              <w:ind w:firstLine="480"/>
              <w:jc w:val="both"/>
            </w:pPr>
            <w:r>
              <w:rPr>
                <w:rFonts w:ascii="仿宋" w:hAnsi="仿宋" w:cs="仿宋" w:eastAsia="仿宋"/>
                <w:color w:val="0C0C0C"/>
                <w:sz w:val="24"/>
              </w:rPr>
              <w:t>2.按照采购人委托的农产品品种、检测项目、检测数量和釆样区域制订抽查实施方案，检测周期为</w:t>
            </w:r>
            <w:r>
              <w:rPr>
                <w:rFonts w:ascii="仿宋" w:hAnsi="仿宋" w:cs="仿宋" w:eastAsia="仿宋"/>
                <w:color w:val="0C0C0C"/>
                <w:sz w:val="24"/>
              </w:rPr>
              <w:t>15</w:t>
            </w:r>
            <w:r>
              <w:rPr>
                <w:rFonts w:ascii="仿宋" w:hAnsi="仿宋" w:cs="仿宋" w:eastAsia="仿宋"/>
                <w:color w:val="0C0C0C"/>
                <w:sz w:val="24"/>
              </w:rPr>
              <w:t>天左右。抽査环节为农产品种植基地、食用农产品收购、运输环节，某类农产品抽样不足时，用其他农产品代替。</w:t>
            </w:r>
          </w:p>
          <w:p>
            <w:pPr>
              <w:pStyle w:val="null3"/>
              <w:ind w:firstLine="480"/>
              <w:jc w:val="both"/>
            </w:pPr>
            <w:r>
              <w:rPr>
                <w:rFonts w:ascii="仿宋" w:hAnsi="仿宋" w:cs="仿宋" w:eastAsia="仿宋"/>
                <w:color w:val="0C0C0C"/>
                <w:sz w:val="24"/>
              </w:rPr>
              <w:t>3.根据采购人要求和认可的抽查检测实施方案采集样品。在组织抽样检测过程中，检测产品的种类、项目、抽样地点及样品处理不得随意调整；如因客观情况必须进行调鑿的，需征得采购人同意。</w:t>
            </w:r>
          </w:p>
          <w:p>
            <w:pPr>
              <w:pStyle w:val="null3"/>
              <w:ind w:firstLine="480"/>
              <w:jc w:val="both"/>
            </w:pPr>
            <w:r>
              <w:rPr>
                <w:rFonts w:ascii="仿宋" w:hAnsi="仿宋" w:cs="仿宋" w:eastAsia="仿宋"/>
                <w:color w:val="0C0C0C"/>
                <w:sz w:val="24"/>
              </w:rPr>
              <w:t>4.按照有关法律法规和技术规范开展农产品质量安全检测。未经采购人同意，供应商不得少检或漏检，不得将委托检测的产品交由其他机构检测。</w:t>
            </w:r>
          </w:p>
          <w:p>
            <w:pPr>
              <w:pStyle w:val="null3"/>
              <w:ind w:firstLine="480"/>
              <w:jc w:val="both"/>
            </w:pPr>
            <w:r>
              <w:rPr>
                <w:rFonts w:ascii="仿宋" w:hAnsi="仿宋" w:cs="仿宋" w:eastAsia="仿宋"/>
                <w:color w:val="0C0C0C"/>
                <w:sz w:val="24"/>
              </w:rPr>
              <w:t>5.农产品质量安全例行抽检发现的不合格信息，供应商应在第一时间报告采购人，并不得泄露抽检数据。</w:t>
            </w:r>
          </w:p>
          <w:p>
            <w:pPr>
              <w:pStyle w:val="null3"/>
              <w:ind w:firstLine="480"/>
              <w:jc w:val="both"/>
            </w:pPr>
            <w:r>
              <w:rPr>
                <w:rFonts w:ascii="仿宋" w:hAnsi="仿宋" w:cs="仿宋" w:eastAsia="仿宋"/>
                <w:color w:val="0C0C0C"/>
                <w:sz w:val="24"/>
              </w:rPr>
              <w:t>6.毎个抽检周期结束前报送检测结果，同时报送所抽检的农产品种整体质量安全状况报告。采购人对报告的可靠性和准确性负责。</w:t>
            </w:r>
          </w:p>
          <w:p>
            <w:pPr>
              <w:pStyle w:val="null3"/>
              <w:jc w:val="both"/>
            </w:pPr>
            <w:r>
              <w:rPr>
                <w:rFonts w:ascii="仿宋" w:hAnsi="仿宋" w:cs="仿宋" w:eastAsia="仿宋"/>
                <w:color w:val="0C0C0C"/>
                <w:sz w:val="24"/>
              </w:rPr>
              <w:t>7.规范备样品收集储存。不合格样品在规定的贮存条件下至少保存两个月。有特殊需求的，按采购人要求执行，最后由检验机构自行处理，并备有处理记录；合格样品保管期限不得少于异议期。</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标的名称：农产品质量安全检测及标准化（种植业产品）农产品检测服务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color w:val="0C0C0C"/>
                <w:sz w:val="24"/>
              </w:rPr>
              <w:t>种植业产品检测项目：委托第三方对种植业产品进行治疗安全检测，</w:t>
            </w:r>
            <w:r>
              <w:rPr>
                <w:rFonts w:ascii="仿宋" w:hAnsi="仿宋" w:cs="仿宋" w:eastAsia="仿宋"/>
                <w:color w:val="0C0C0C"/>
                <w:sz w:val="24"/>
              </w:rPr>
              <w:t>突出</w:t>
            </w:r>
            <w:r>
              <w:rPr>
                <w:rFonts w:ascii="仿宋" w:hAnsi="仿宋" w:cs="仿宋" w:eastAsia="仿宋"/>
                <w:color w:val="0C0C0C"/>
                <w:sz w:val="24"/>
              </w:rPr>
              <w:t>蔬菜、水果、</w:t>
            </w:r>
            <w:r>
              <w:rPr>
                <w:rFonts w:ascii="仿宋" w:hAnsi="仿宋" w:cs="仿宋" w:eastAsia="仿宋"/>
                <w:color w:val="0C0C0C"/>
                <w:sz w:val="24"/>
              </w:rPr>
              <w:t>食用菌等检测，扩大风险监测规模和小农户抽样比例，</w:t>
            </w:r>
            <w:r>
              <w:rPr>
                <w:rFonts w:ascii="仿宋" w:hAnsi="仿宋" w:cs="仿宋" w:eastAsia="仿宋"/>
                <w:color w:val="0C0C0C"/>
                <w:sz w:val="24"/>
              </w:rPr>
              <w:t>落实定量检测</w:t>
            </w:r>
            <w:r>
              <w:rPr>
                <w:rFonts w:ascii="仿宋" w:hAnsi="仿宋" w:cs="仿宋" w:eastAsia="仿宋"/>
                <w:color w:val="0C0C0C"/>
                <w:sz w:val="24"/>
              </w:rPr>
              <w:t>1008批次</w:t>
            </w:r>
            <w:r>
              <w:rPr>
                <w:rFonts w:ascii="仿宋" w:hAnsi="仿宋" w:cs="仿宋" w:eastAsia="仿宋"/>
                <w:color w:val="0C0C0C"/>
                <w:sz w:val="24"/>
              </w:rPr>
              <w:t>目标任务，定量检测</w:t>
            </w:r>
            <w:r>
              <w:rPr>
                <w:rFonts w:ascii="仿宋" w:hAnsi="仿宋" w:cs="仿宋" w:eastAsia="仿宋"/>
                <w:color w:val="0C0C0C"/>
                <w:sz w:val="24"/>
              </w:rPr>
              <w:t>6</w:t>
            </w:r>
            <w:r>
              <w:rPr>
                <w:rFonts w:ascii="仿宋" w:hAnsi="仿宋" w:cs="仿宋" w:eastAsia="仿宋"/>
                <w:color w:val="0C0C0C"/>
                <w:sz w:val="24"/>
              </w:rPr>
              <w:t>58</w:t>
            </w:r>
            <w:r>
              <w:rPr>
                <w:rFonts w:ascii="仿宋" w:hAnsi="仿宋" w:cs="仿宋" w:eastAsia="仿宋"/>
                <w:color w:val="0C0C0C"/>
                <w:sz w:val="24"/>
              </w:rPr>
              <w:t>批次（其中一包</w:t>
            </w:r>
            <w:r>
              <w:rPr>
                <w:rFonts w:ascii="仿宋" w:hAnsi="仿宋" w:cs="仿宋" w:eastAsia="仿宋"/>
                <w:color w:val="0C0C0C"/>
                <w:sz w:val="24"/>
              </w:rPr>
              <w:t>3</w:t>
            </w:r>
            <w:r>
              <w:rPr>
                <w:rFonts w:ascii="仿宋" w:hAnsi="仿宋" w:cs="仿宋" w:eastAsia="仿宋"/>
                <w:color w:val="0C0C0C"/>
                <w:sz w:val="24"/>
              </w:rPr>
              <w:t>58</w:t>
            </w:r>
            <w:r>
              <w:rPr>
                <w:rFonts w:ascii="仿宋" w:hAnsi="仿宋" w:cs="仿宋" w:eastAsia="仿宋"/>
                <w:color w:val="0C0C0C"/>
                <w:sz w:val="24"/>
              </w:rPr>
              <w:t>批次，二包</w:t>
            </w:r>
            <w:r>
              <w:rPr>
                <w:rFonts w:ascii="仿宋" w:hAnsi="仿宋" w:cs="仿宋" w:eastAsia="仿宋"/>
                <w:color w:val="0C0C0C"/>
                <w:sz w:val="24"/>
              </w:rPr>
              <w:t>300</w:t>
            </w:r>
            <w:r>
              <w:rPr>
                <w:rFonts w:ascii="仿宋" w:hAnsi="仿宋" w:cs="仿宋" w:eastAsia="仿宋"/>
                <w:color w:val="0C0C0C"/>
                <w:sz w:val="24"/>
              </w:rPr>
              <w:t>批次），确保风险监测的时效性、准确性。</w:t>
            </w:r>
            <w:r>
              <w:rPr>
                <w:rFonts w:ascii="仿宋" w:hAnsi="仿宋" w:cs="仿宋" w:eastAsia="仿宋"/>
                <w:b/>
                <w:color w:val="0C0C0C"/>
                <w:sz w:val="24"/>
              </w:rPr>
              <w:t>供应商应严格按照时间节点要求完成检测任务</w:t>
            </w:r>
            <w:r>
              <w:rPr>
                <w:rFonts w:ascii="仿宋" w:hAnsi="仿宋" w:cs="仿宋" w:eastAsia="仿宋"/>
                <w:color w:val="0C0C0C"/>
                <w:sz w:val="24"/>
              </w:rPr>
              <w:t>。</w:t>
            </w:r>
            <w:r>
              <w:rPr>
                <w:rFonts w:ascii="仿宋" w:hAnsi="仿宋" w:cs="仿宋" w:eastAsia="仿宋"/>
                <w:color w:val="0C0C0C"/>
                <w:sz w:val="24"/>
              </w:rPr>
              <w:t>种植业产品监测项目和检测方法</w:t>
            </w:r>
            <w:r>
              <w:rPr>
                <w:rFonts w:ascii="仿宋" w:hAnsi="仿宋" w:cs="仿宋" w:eastAsia="仿宋"/>
                <w:color w:val="0C0C0C"/>
                <w:sz w:val="24"/>
              </w:rPr>
              <w:t>(定量检测)内容详见下表：</w:t>
            </w:r>
          </w:p>
          <w:tbl>
            <w:tblPr>
              <w:tblInd w:type="dxa" w:w="135"/>
              <w:tblBorders>
                <w:top w:val="none" w:color="000000" w:sz="4"/>
                <w:left w:val="none" w:color="000000" w:sz="4"/>
                <w:bottom w:val="none" w:color="000000" w:sz="4"/>
                <w:right w:val="none" w:color="000000" w:sz="4"/>
                <w:insideH w:val="none"/>
                <w:insideV w:val="none"/>
              </w:tblBorders>
            </w:tblPr>
            <w:tblGrid>
              <w:gridCol w:w="1874"/>
              <w:gridCol w:w="674"/>
            </w:tblGrid>
            <w:tr>
              <w:tc>
                <w:tcPr>
                  <w:tcW w:type="dxa" w:w="18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监测参数</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检测方法</w:t>
                  </w: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fangsong" w:hAnsi="fangsong" w:cs="fangsong" w:eastAsia="fangsong"/>
                      <w:color w:val="0C0C0C"/>
                      <w:sz w:val="24"/>
                    </w:rPr>
                    <w:t>禁用农药甲胺磷、对硫磷、甲基对硫磷、六六六、三氯杀螨醇；</w:t>
                  </w:r>
                </w:p>
                <w:p>
                  <w:pPr>
                    <w:pStyle w:val="null3"/>
                    <w:ind w:firstLine="560"/>
                    <w:jc w:val="both"/>
                  </w:pPr>
                  <w:r>
                    <w:rPr>
                      <w:rFonts w:ascii="fangsong" w:hAnsi="fangsong" w:cs="fangsong" w:eastAsia="fangsong"/>
                      <w:color w:val="0C0C0C"/>
                      <w:sz w:val="24"/>
                    </w:rPr>
                    <w:t>限用农药甲拌磷（包括甲拌磷砜和甲拌磷亚砜）、氧乐果、水胺硫磷、甲基异柳磷、克百威（包括3-羟基克百威)、涕灭威（包括涕灭威砜和涕灭威亚砜）、氟虫腈（包括氟甲腈、氟虫腈硫醚、氟虫腈砜）、毒死蜱、三唑磷、乐果、乙酰甲胺磷、灭多威、硫环磷、氯唑磷、内吸磷；</w:t>
                  </w:r>
                </w:p>
                <w:p>
                  <w:pPr>
                    <w:pStyle w:val="null3"/>
                    <w:ind w:firstLine="560"/>
                    <w:jc w:val="both"/>
                  </w:pPr>
                  <w:r>
                    <w:rPr>
                      <w:rFonts w:ascii="fangsong" w:hAnsi="fangsong" w:cs="fangsong" w:eastAsia="fangsong"/>
                      <w:color w:val="0C0C0C"/>
                      <w:sz w:val="24"/>
                    </w:rPr>
                    <w:t>常规农药敌敌畏、杀螟硫磷、丙溴磷、马拉硫磷、亚胺硫磷、倍硫磷、辛硫磷、氯氰菊酯、氰戊菊酯、溴氰菊酯、甲氰菊酯、联苯菊酯、氯氟氰菊酯、氟氯氰菊酯、氯吡脲、噻苯隆、除虫脲、灭幼脲、吡虫啉、啶虫脒、哒螨灵、阿维菌素、甲氨基阿维菌素苯甲酸盐、虫螨腈、噻虫嗪、氟啶脲、异菌脲、五氯硝基苯、三唑酮、百菌清、腐霉利、乙烯菌核利、多菌灵、苯醚甲环唑、嘧霉胺、烯酰吗</w:t>
                  </w:r>
                  <w:r>
                    <w:rPr>
                      <w:rFonts w:ascii="fangsong" w:hAnsi="fangsong" w:cs="fangsong" w:eastAsia="fangsong"/>
                      <w:color w:val="0C0C0C"/>
                      <w:sz w:val="24"/>
                    </w:rPr>
                    <w:t>啉</w:t>
                  </w:r>
                  <w:r>
                    <w:rPr>
                      <w:rFonts w:ascii="fangsong" w:hAnsi="fangsong" w:cs="fangsong" w:eastAsia="fangsong"/>
                      <w:color w:val="0C0C0C"/>
                      <w:sz w:val="24"/>
                    </w:rPr>
                    <w:t>、咪鲜胺、嘧菌酯、二甲戊灵、灭蝇胺、甲霜灵、霜霉威、多效唑、氯虫苯甲酰胺、氯菊酯（异构体之和）、醚菊酯、虫酰肼、吡唑醚菌酯、戊唑醇。</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color w:val="0C0C0C"/>
                      <w:sz w:val="24"/>
                    </w:rPr>
                    <w:t>按GB/T20769</w:t>
                  </w:r>
                  <w:r>
                    <w:rPr>
                      <w:rFonts w:ascii="fangsong" w:hAnsi="fangsong" w:cs="fangsong" w:eastAsia="fangsong"/>
                      <w:color w:val="0C0C0C"/>
                      <w:sz w:val="24"/>
                    </w:rPr>
                    <w:t>-2008或</w:t>
                  </w:r>
                  <w:r>
                    <w:rPr>
                      <w:rFonts w:ascii="fangsong" w:hAnsi="fangsong" w:cs="fangsong" w:eastAsia="fangsong"/>
                      <w:color w:val="0C0C0C"/>
                      <w:sz w:val="24"/>
                    </w:rPr>
                    <w:t>BG/23200.113</w:t>
                  </w:r>
                  <w:r>
                    <w:rPr>
                      <w:rFonts w:ascii="fangsong" w:hAnsi="fangsong" w:cs="fangsong" w:eastAsia="fangsong"/>
                      <w:color w:val="0C0C0C"/>
                      <w:sz w:val="24"/>
                    </w:rPr>
                    <w:t>-2018</w:t>
                  </w:r>
                  <w:r>
                    <w:rPr>
                      <w:rFonts w:ascii="fangsong" w:hAnsi="fangsong" w:cs="fangsong" w:eastAsia="fangsong"/>
                      <w:color w:val="0C0C0C"/>
                      <w:sz w:val="24"/>
                    </w:rPr>
                    <w:t>或GB23200.121</w:t>
                  </w:r>
                  <w:r>
                    <w:rPr>
                      <w:rFonts w:ascii="fangsong" w:hAnsi="fangsong" w:cs="fangsong" w:eastAsia="fangsong"/>
                      <w:color w:val="0C0C0C"/>
                      <w:sz w:val="24"/>
                    </w:rPr>
                    <w:t>-2021</w:t>
                  </w:r>
                  <w:r>
                    <w:rPr>
                      <w:rFonts w:ascii="fangsong" w:hAnsi="fangsong" w:cs="fangsong" w:eastAsia="fangsong"/>
                      <w:color w:val="0C0C0C"/>
                      <w:sz w:val="24"/>
                    </w:rPr>
                    <w:t>或NY/T761</w:t>
                  </w:r>
                  <w:r>
                    <w:rPr>
                      <w:rFonts w:ascii="fangsong" w:hAnsi="fangsong" w:cs="fangsong" w:eastAsia="fangsong"/>
                      <w:color w:val="0C0C0C"/>
                      <w:sz w:val="24"/>
                    </w:rPr>
                    <w:t>-2008</w:t>
                  </w:r>
                  <w:r>
                    <w:rPr>
                      <w:rFonts w:ascii="fangsong" w:hAnsi="fangsong" w:cs="fangsong" w:eastAsia="fangsong"/>
                      <w:color w:val="0C0C0C"/>
                      <w:sz w:val="24"/>
                    </w:rPr>
                    <w:t>进行检测。</w:t>
                  </w:r>
                </w:p>
              </w:tc>
            </w:tr>
          </w:tbl>
          <w:p>
            <w:pPr>
              <w:pStyle w:val="null3"/>
              <w:jc w:val="both"/>
            </w:pPr>
            <w:r>
              <w:rPr>
                <w:rFonts w:ascii="仿宋" w:hAnsi="仿宋" w:cs="仿宋" w:eastAsia="仿宋"/>
                <w:color w:val="0C0C0C"/>
                <w:sz w:val="24"/>
              </w:rPr>
              <w:t>采购人委托具体事项：</w:t>
            </w:r>
          </w:p>
          <w:p>
            <w:pPr>
              <w:pStyle w:val="null3"/>
              <w:ind w:firstLine="480"/>
              <w:jc w:val="both"/>
            </w:pPr>
            <w:r>
              <w:rPr>
                <w:rFonts w:ascii="仿宋" w:hAnsi="仿宋" w:cs="仿宋" w:eastAsia="仿宋"/>
                <w:color w:val="0C0C0C"/>
                <w:sz w:val="24"/>
              </w:rPr>
              <w:t>1.按照有关法律法规和技术规范，承担本项目抽检工作。</w:t>
            </w:r>
          </w:p>
          <w:p>
            <w:pPr>
              <w:pStyle w:val="null3"/>
              <w:ind w:firstLine="480"/>
              <w:jc w:val="both"/>
            </w:pPr>
            <w:r>
              <w:rPr>
                <w:rFonts w:ascii="仿宋" w:hAnsi="仿宋" w:cs="仿宋" w:eastAsia="仿宋"/>
                <w:color w:val="0C0C0C"/>
                <w:sz w:val="24"/>
              </w:rPr>
              <w:t>2.按照采购人委托的农产品品种、检测项目、检测数量和釆样区域制订抽查实施方案，检测周期为</w:t>
            </w:r>
            <w:r>
              <w:rPr>
                <w:rFonts w:ascii="仿宋" w:hAnsi="仿宋" w:cs="仿宋" w:eastAsia="仿宋"/>
                <w:color w:val="0C0C0C"/>
                <w:sz w:val="24"/>
              </w:rPr>
              <w:t>15</w:t>
            </w:r>
            <w:r>
              <w:rPr>
                <w:rFonts w:ascii="仿宋" w:hAnsi="仿宋" w:cs="仿宋" w:eastAsia="仿宋"/>
                <w:color w:val="0C0C0C"/>
                <w:sz w:val="24"/>
              </w:rPr>
              <w:t>天左右。抽査环节为农产品种植基地、食用农产品收购、运输环节，某类农产品抽样不足时，用其他农产品代替。</w:t>
            </w:r>
          </w:p>
          <w:p>
            <w:pPr>
              <w:pStyle w:val="null3"/>
              <w:ind w:firstLine="480"/>
              <w:jc w:val="both"/>
            </w:pPr>
            <w:r>
              <w:rPr>
                <w:rFonts w:ascii="仿宋" w:hAnsi="仿宋" w:cs="仿宋" w:eastAsia="仿宋"/>
                <w:color w:val="0C0C0C"/>
                <w:sz w:val="24"/>
              </w:rPr>
              <w:t>3.根据采购人要求和认可的抽查检测实施方案采集样品。在组织抽样检测过程中，检测产品的种类、项目、抽样地点及样品处理不得随意调整；如因客观情况必须进行调鑿的，需征得采购人同意。</w:t>
            </w:r>
          </w:p>
          <w:p>
            <w:pPr>
              <w:pStyle w:val="null3"/>
              <w:ind w:firstLine="480"/>
              <w:jc w:val="both"/>
            </w:pPr>
            <w:r>
              <w:rPr>
                <w:rFonts w:ascii="仿宋" w:hAnsi="仿宋" w:cs="仿宋" w:eastAsia="仿宋"/>
                <w:color w:val="0C0C0C"/>
                <w:sz w:val="24"/>
              </w:rPr>
              <w:t>4.按照有关法律法规和技术规范开展农产品质量安全检测。未经采购人同意，供应商不得少检或漏检，不得将委托检测的产品交由其他机构检测。</w:t>
            </w:r>
          </w:p>
          <w:p>
            <w:pPr>
              <w:pStyle w:val="null3"/>
              <w:ind w:firstLine="480"/>
              <w:jc w:val="both"/>
            </w:pPr>
            <w:r>
              <w:rPr>
                <w:rFonts w:ascii="仿宋" w:hAnsi="仿宋" w:cs="仿宋" w:eastAsia="仿宋"/>
                <w:color w:val="0C0C0C"/>
                <w:sz w:val="24"/>
              </w:rPr>
              <w:t>5.农产品质量安全例行抽检发现的不合格信息，供应商应在第一时间报告采购人，并不得泄露抽检数据。</w:t>
            </w:r>
          </w:p>
          <w:p>
            <w:pPr>
              <w:pStyle w:val="null3"/>
              <w:ind w:firstLine="480"/>
              <w:jc w:val="both"/>
            </w:pPr>
            <w:r>
              <w:rPr>
                <w:rFonts w:ascii="仿宋" w:hAnsi="仿宋" w:cs="仿宋" w:eastAsia="仿宋"/>
                <w:color w:val="0C0C0C"/>
                <w:sz w:val="24"/>
              </w:rPr>
              <w:t>6.毎个抽检周期结束前报送检测结果，同时报送所抽检的农产品种整体质量安全状况报告。采购人对报告的可靠性和准确性负责。</w:t>
            </w:r>
          </w:p>
          <w:p>
            <w:pPr>
              <w:pStyle w:val="null3"/>
              <w:jc w:val="both"/>
            </w:pPr>
            <w:r>
              <w:rPr>
                <w:rFonts w:ascii="仿宋" w:hAnsi="仿宋" w:cs="仿宋" w:eastAsia="仿宋"/>
                <w:color w:val="0C0C0C"/>
                <w:sz w:val="24"/>
              </w:rPr>
              <w:t>7.规范备样品收集储存。不合格样品在规定的贮存条件下至少保存两个月。有特殊需求的，按采购人要求执行，最后由检验机构自行处理，并备有处理记录；合格样品保管期限不得少于异议期。</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标的名称：检测技术指导服务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fangsong" w:hAnsi="fangsong" w:cs="fangsong" w:eastAsia="fangsong"/>
                <w:color w:val="0C0C0C"/>
                <w:sz w:val="24"/>
              </w:rPr>
              <w:t>实验室技术指导服务：委托第三方对采购人实验室进行检测技术指导服务及体系技术指导服务。</w:t>
            </w:r>
          </w:p>
          <w:p>
            <w:pPr>
              <w:pStyle w:val="null3"/>
              <w:jc w:val="both"/>
            </w:pPr>
            <w:r>
              <w:rPr>
                <w:rFonts w:ascii="fangsong" w:hAnsi="fangsong" w:cs="fangsong" w:eastAsia="fangsong"/>
                <w:color w:val="0C0C0C"/>
                <w:sz w:val="24"/>
              </w:rPr>
              <w:t>1、体系技术指导内容：</w:t>
            </w:r>
          </w:p>
          <w:tbl>
            <w:tblPr>
              <w:tblInd w:type="dxa" w:w="135"/>
              <w:tblBorders>
                <w:top w:val="none" w:color="000000" w:sz="4"/>
                <w:left w:val="none" w:color="000000" w:sz="4"/>
                <w:bottom w:val="none" w:color="000000" w:sz="4"/>
                <w:right w:val="none" w:color="000000" w:sz="4"/>
                <w:insideH w:val="none"/>
                <w:insideV w:val="none"/>
              </w:tblBorders>
            </w:tblPr>
            <w:tblGrid>
              <w:gridCol w:w="306"/>
              <w:gridCol w:w="493"/>
              <w:gridCol w:w="266"/>
              <w:gridCol w:w="1481"/>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sz w:val="24"/>
                    </w:rPr>
                    <w:t>序号</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sz w:val="24"/>
                    </w:rPr>
                    <w:t>指导项目</w:t>
                  </w:r>
                </w:p>
              </w:tc>
              <w:tc>
                <w:tcPr>
                  <w:tcW w:type="dxa" w:w="17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sz w:val="24"/>
                    </w:rPr>
                    <w:t>指导内容</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体系修改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w:t>
                  </w:r>
                </w:p>
              </w:tc>
              <w:tc>
                <w:tcPr>
                  <w:tcW w:type="dxa" w:w="1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人员变更</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体系文件修订</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记录填写</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3</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仪器使用记录</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4</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仪器维护记录</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5</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原始记录</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6</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试剂耗材保管领用记录</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3</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质量控制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7</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加标回收</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8</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人员比对</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9</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实验室间比对</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10</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能力验证</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11</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检定与校准</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12</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功能核查</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13</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期间核查</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14</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质量监督</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4</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设施与环境</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15</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环境监测</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16</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冰箱冰柜温度监测</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17</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有害废弃物处理</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5</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标准溶液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18</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标准溶液的采购验收</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19</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标准溶液的期间核查</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20</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标准溶液配置领用</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6</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内部审核</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21</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年度内部审核计划</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22</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年度内部审核实施</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23</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不符合项纠正措施</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24</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内部审核报告</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7</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管理评审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25</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年度管理评审计划</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26</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年度管理评审实施</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27</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不符合项纠正措施</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28</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管理评审报告</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8</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样品管理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29</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样品制备与保管</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30</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样品领用与处理</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9</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人员档案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31</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人员培训计划</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32</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人员培训记录</w:t>
                  </w:r>
                </w:p>
              </w:tc>
            </w:tr>
            <w:tr>
              <w:tc>
                <w:tcPr>
                  <w:tcW w:type="dxa" w:w="306"/>
                  <w:vMerge/>
                  <w:tcBorders>
                    <w:top w:val="none" w:color="000000" w:sz="4"/>
                    <w:left w:val="singl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33</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培训效果评价</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10</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fangsong" w:hAnsi="fangsong" w:cs="fangsong" w:eastAsia="fangsong"/>
                      <w:sz w:val="24"/>
                    </w:rPr>
                    <w:t>合计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fangsong" w:hAnsi="fangsong" w:cs="fangsong" w:eastAsia="fangsong"/>
                <w:color w:val="0C0C0C"/>
                <w:sz w:val="24"/>
              </w:rPr>
              <w:t>2、</w:t>
            </w:r>
            <w:r>
              <w:rPr>
                <w:rFonts w:ascii="fangsong" w:hAnsi="fangsong" w:cs="fangsong" w:eastAsia="fangsong"/>
                <w:color w:val="0C0C0C"/>
                <w:sz w:val="24"/>
              </w:rPr>
              <w:t>检测</w:t>
            </w:r>
            <w:r>
              <w:rPr>
                <w:rFonts w:ascii="fangsong" w:hAnsi="fangsong" w:cs="fangsong" w:eastAsia="fangsong"/>
                <w:color w:val="0C0C0C"/>
                <w:sz w:val="24"/>
              </w:rPr>
              <w:t>技术指导内容</w:t>
            </w:r>
            <w:r>
              <w:rPr>
                <w:rFonts w:ascii="fangsong" w:hAnsi="fangsong" w:cs="fangsong" w:eastAsia="fangsong"/>
                <w:color w:val="0C0C0C"/>
                <w:sz w:val="24"/>
              </w:rPr>
              <w:t>及报价</w:t>
            </w:r>
            <w:r>
              <w:rPr>
                <w:rFonts w:ascii="fangsong" w:hAnsi="fangsong" w:cs="fangsong" w:eastAsia="fangsong"/>
                <w:color w:val="0C0C0C"/>
                <w:sz w:val="24"/>
              </w:rPr>
              <w:t>：</w:t>
            </w:r>
          </w:p>
          <w:tbl>
            <w:tblPr>
              <w:tblInd w:type="dxa" w:w="135"/>
              <w:tblBorders>
                <w:top w:val="none" w:color="000000" w:sz="4"/>
                <w:left w:val="none" w:color="000000" w:sz="4"/>
                <w:bottom w:val="none" w:color="000000" w:sz="4"/>
                <w:right w:val="none" w:color="000000" w:sz="4"/>
                <w:insideH w:val="none"/>
                <w:insideV w:val="none"/>
              </w:tblBorders>
            </w:tblPr>
            <w:tblGrid>
              <w:gridCol w:w="307"/>
              <w:gridCol w:w="499"/>
              <w:gridCol w:w="290"/>
              <w:gridCol w:w="1450"/>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sz w:val="24"/>
                    </w:rPr>
                    <w:t>序号</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sz w:val="24"/>
                    </w:rPr>
                    <w:t>指导项目</w:t>
                  </w:r>
                </w:p>
              </w:tc>
              <w:tc>
                <w:tcPr>
                  <w:tcW w:type="dxa" w:w="17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sz w:val="24"/>
                    </w:rPr>
                    <w:t>指导内容</w:t>
                  </w:r>
                </w:p>
              </w:tc>
            </w:tr>
            <w:tr>
              <w:tc>
                <w:tcPr>
                  <w:tcW w:type="dxa" w:w="3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w:t>
                  </w:r>
                </w:p>
              </w:tc>
              <w:tc>
                <w:tcPr>
                  <w:tcW w:type="dxa" w:w="4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350批次定量检测</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1</w:t>
                  </w:r>
                </w:p>
              </w:tc>
              <w:tc>
                <w:tcPr>
                  <w:tcW w:type="dxa" w:w="1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样品制备</w:t>
                  </w:r>
                </w:p>
              </w:tc>
            </w:tr>
            <w:tr>
              <w:tc>
                <w:tcPr>
                  <w:tcW w:type="dxa" w:w="307"/>
                  <w:vMerge/>
                  <w:tcBorders>
                    <w:top w:val="none" w:color="000000" w:sz="4"/>
                    <w:left w:val="single" w:color="000000" w:sz="4"/>
                    <w:bottom w:val="single" w:color="000000" w:sz="4"/>
                    <w:right w:val="single" w:color="000000" w:sz="4"/>
                  </w:tcBorders>
                </w:tcPr>
                <w:p/>
              </w:tc>
              <w:tc>
                <w:tcPr>
                  <w:tcW w:type="dxa" w:w="499"/>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样品前处理</w:t>
                  </w:r>
                </w:p>
              </w:tc>
            </w:tr>
            <w:tr>
              <w:tc>
                <w:tcPr>
                  <w:tcW w:type="dxa" w:w="307"/>
                  <w:vMerge/>
                  <w:tcBorders>
                    <w:top w:val="none" w:color="000000" w:sz="4"/>
                    <w:left w:val="single" w:color="000000" w:sz="4"/>
                    <w:bottom w:val="single" w:color="000000" w:sz="4"/>
                    <w:right w:val="single" w:color="000000" w:sz="4"/>
                  </w:tcBorders>
                </w:tcPr>
                <w:p/>
              </w:tc>
              <w:tc>
                <w:tcPr>
                  <w:tcW w:type="dxa" w:w="499"/>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3</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仪器上机</w:t>
                  </w:r>
                </w:p>
              </w:tc>
            </w:tr>
            <w:tr>
              <w:tc>
                <w:tcPr>
                  <w:tcW w:type="dxa" w:w="307"/>
                  <w:vMerge/>
                  <w:tcBorders>
                    <w:top w:val="none" w:color="000000" w:sz="4"/>
                    <w:left w:val="single" w:color="000000" w:sz="4"/>
                    <w:bottom w:val="single" w:color="000000" w:sz="4"/>
                    <w:right w:val="single" w:color="000000" w:sz="4"/>
                  </w:tcBorders>
                </w:tcPr>
                <w:p/>
              </w:tc>
              <w:tc>
                <w:tcPr>
                  <w:tcW w:type="dxa" w:w="499"/>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4</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数据处理</w:t>
                  </w:r>
                </w:p>
              </w:tc>
            </w:tr>
            <w:tr>
              <w:tc>
                <w:tcPr>
                  <w:tcW w:type="dxa" w:w="307"/>
                  <w:vMerge/>
                  <w:tcBorders>
                    <w:top w:val="none" w:color="000000" w:sz="4"/>
                    <w:left w:val="single" w:color="000000" w:sz="4"/>
                    <w:bottom w:val="single" w:color="000000" w:sz="4"/>
                    <w:right w:val="single" w:color="000000" w:sz="4"/>
                  </w:tcBorders>
                </w:tcPr>
                <w:p/>
              </w:tc>
              <w:tc>
                <w:tcPr>
                  <w:tcW w:type="dxa" w:w="499"/>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5</w:t>
                  </w: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sz w:val="24"/>
                    </w:rPr>
                    <w:t>报告编辑</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sz w:val="24"/>
                    </w:rPr>
                    <w:t>合计</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fangsong" w:hAnsi="fangsong" w:cs="fangsong" w:eastAsia="fangsong"/>
                <w:color w:val="0C0C0C"/>
                <w:sz w:val="24"/>
              </w:rPr>
              <w:t>3、</w:t>
            </w:r>
            <w:r>
              <w:rPr>
                <w:rFonts w:ascii="fangsong" w:hAnsi="fangsong" w:cs="fangsong" w:eastAsia="fangsong"/>
                <w:color w:val="0C0C0C"/>
                <w:sz w:val="24"/>
              </w:rPr>
              <w:t>检测仪器设备维保服务</w:t>
            </w:r>
          </w:p>
          <w:tbl>
            <w:tblPr>
              <w:tblBorders>
                <w:top w:val="none" w:color="000000" w:sz="4"/>
                <w:left w:val="none" w:color="000000" w:sz="4"/>
                <w:bottom w:val="none" w:color="000000" w:sz="4"/>
                <w:right w:val="none" w:color="000000" w:sz="4"/>
                <w:insideH w:val="none"/>
                <w:insideV w:val="none"/>
              </w:tblBorders>
            </w:tblPr>
            <w:tblGrid>
              <w:gridCol w:w="306"/>
              <w:gridCol w:w="561"/>
              <w:gridCol w:w="1355"/>
              <w:gridCol w:w="324"/>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color w:val="0C0C0C"/>
                      <w:sz w:val="24"/>
                    </w:rPr>
                    <w:t>序号</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color w:val="0C0C0C"/>
                      <w:sz w:val="24"/>
                    </w:rPr>
                    <w:t>仪器名称</w:t>
                  </w:r>
                </w:p>
              </w:tc>
              <w:tc>
                <w:tcPr>
                  <w:tcW w:type="dxa" w:w="1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color w:val="0C0C0C"/>
                      <w:sz w:val="24"/>
                    </w:rPr>
                    <w:t>服务内容</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color w:val="0C0C0C"/>
                      <w:sz w:val="24"/>
                    </w:rPr>
                    <w:t>数量</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1</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气相色谱仪</w:t>
                  </w:r>
                </w:p>
              </w:tc>
              <w:tc>
                <w:tcPr>
                  <w:tcW w:type="dxa" w:w="1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fangsong" w:hAnsi="fangsong" w:cs="fangsong" w:eastAsia="fangsong"/>
                      <w:color w:val="0C0C0C"/>
                      <w:sz w:val="24"/>
                    </w:rPr>
                    <w:t>对仪器/设备使用环境进行现场评估并给出意见。</w:t>
                  </w:r>
                </w:p>
                <w:p>
                  <w:pPr>
                    <w:pStyle w:val="null3"/>
                    <w:numPr>
                      <w:ilvl w:val="0"/>
                      <w:numId w:val="1"/>
                    </w:numPr>
                    <w:jc w:val="both"/>
                  </w:pPr>
                  <w:r>
                    <w:rPr>
                      <w:rFonts w:ascii="fangsong" w:hAnsi="fangsong" w:cs="fangsong" w:eastAsia="fangsong"/>
                      <w:color w:val="0C0C0C"/>
                      <w:sz w:val="24"/>
                    </w:rPr>
                    <w:t>实验区域内的水、电、气路进行安全/性能排查。</w:t>
                  </w:r>
                </w:p>
                <w:p>
                  <w:pPr>
                    <w:pStyle w:val="null3"/>
                    <w:numPr>
                      <w:ilvl w:val="0"/>
                      <w:numId w:val="1"/>
                    </w:numPr>
                    <w:jc w:val="both"/>
                  </w:pPr>
                  <w:r>
                    <w:rPr>
                      <w:rFonts w:ascii="fangsong" w:hAnsi="fangsong" w:cs="fangsong" w:eastAsia="fangsong"/>
                      <w:color w:val="0C0C0C"/>
                      <w:sz w:val="24"/>
                    </w:rPr>
                    <w:t>仪器/设备内外部清理除尘。</w:t>
                  </w:r>
                </w:p>
                <w:p>
                  <w:pPr>
                    <w:pStyle w:val="null3"/>
                    <w:numPr>
                      <w:ilvl w:val="0"/>
                      <w:numId w:val="1"/>
                    </w:numPr>
                    <w:jc w:val="both"/>
                  </w:pPr>
                  <w:r>
                    <w:rPr>
                      <w:rFonts w:ascii="fangsong" w:hAnsi="fangsong" w:cs="fangsong" w:eastAsia="fangsong"/>
                      <w:color w:val="0C0C0C"/>
                      <w:sz w:val="24"/>
                    </w:rPr>
                    <w:t>仪器/设备性能功能确认性检查及预防性维修。</w:t>
                  </w:r>
                </w:p>
                <w:p>
                  <w:pPr>
                    <w:pStyle w:val="null3"/>
                    <w:numPr>
                      <w:ilvl w:val="0"/>
                      <w:numId w:val="1"/>
                    </w:numPr>
                    <w:jc w:val="both"/>
                  </w:pPr>
                  <w:r>
                    <w:rPr>
                      <w:rFonts w:ascii="fangsong" w:hAnsi="fangsong" w:cs="fangsong" w:eastAsia="fangsong"/>
                      <w:color w:val="0C0C0C"/>
                      <w:sz w:val="24"/>
                    </w:rPr>
                    <w:t>对仪器/设备易损件进行检测排查及更换，深度清理内部积垢。</w:t>
                  </w:r>
                </w:p>
                <w:p>
                  <w:pPr>
                    <w:pStyle w:val="null3"/>
                    <w:numPr>
                      <w:ilvl w:val="0"/>
                      <w:numId w:val="1"/>
                    </w:numPr>
                    <w:jc w:val="both"/>
                  </w:pPr>
                  <w:r>
                    <w:rPr>
                      <w:rFonts w:ascii="fangsong" w:hAnsi="fangsong" w:cs="fangsong" w:eastAsia="fangsong"/>
                      <w:color w:val="0C0C0C"/>
                      <w:sz w:val="24"/>
                    </w:rPr>
                    <w:t>维保完成开机调试。</w:t>
                  </w:r>
                </w:p>
                <w:p>
                  <w:pPr>
                    <w:pStyle w:val="null3"/>
                    <w:numPr>
                      <w:ilvl w:val="0"/>
                      <w:numId w:val="1"/>
                    </w:numPr>
                    <w:jc w:val="both"/>
                  </w:pPr>
                  <w:r>
                    <w:rPr>
                      <w:rFonts w:ascii="fangsong" w:hAnsi="fangsong" w:cs="fangsong" w:eastAsia="fangsong"/>
                      <w:color w:val="0C0C0C"/>
                      <w:sz w:val="24"/>
                    </w:rPr>
                    <w:t>现场对操作人员进行仪器/设备日常维护讲解。</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2</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液相色谱仪</w:t>
                  </w:r>
                </w:p>
              </w:tc>
              <w:tc>
                <w:tcPr>
                  <w:tcW w:type="dxa" w:w="1355"/>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3</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鼓风干燥箱</w:t>
                  </w:r>
                </w:p>
              </w:tc>
              <w:tc>
                <w:tcPr>
                  <w:tcW w:type="dxa" w:w="1355"/>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4</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匀浆机</w:t>
                  </w:r>
                </w:p>
              </w:tc>
              <w:tc>
                <w:tcPr>
                  <w:tcW w:type="dxa" w:w="1355"/>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5</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氮吹仪</w:t>
                  </w:r>
                </w:p>
              </w:tc>
              <w:tc>
                <w:tcPr>
                  <w:tcW w:type="dxa" w:w="1355"/>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6</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水浴锅</w:t>
                  </w:r>
                </w:p>
              </w:tc>
              <w:tc>
                <w:tcPr>
                  <w:tcW w:type="dxa" w:w="1355"/>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7</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移液器</w:t>
                  </w:r>
                </w:p>
              </w:tc>
              <w:tc>
                <w:tcPr>
                  <w:tcW w:type="dxa" w:w="1355"/>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8</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合计</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11</w:t>
                  </w:r>
                </w:p>
              </w:tc>
            </w:tr>
          </w:tbl>
          <w:p>
            <w:pPr>
              <w:pStyle w:val="null3"/>
              <w:numPr>
                <w:ilvl w:val="0"/>
                <w:numId w:val="1"/>
              </w:numPr>
              <w:jc w:val="both"/>
            </w:pPr>
            <w:r>
              <w:rPr>
                <w:rFonts w:ascii="fangsong" w:hAnsi="fangsong" w:cs="fangsong" w:eastAsia="fangsong"/>
                <w:color w:val="0C0C0C"/>
                <w:sz w:val="24"/>
              </w:rPr>
              <w:t>实验室检测能力提升服务</w:t>
            </w:r>
          </w:p>
          <w:tbl>
            <w:tblPr>
              <w:tblBorders>
                <w:top w:val="none" w:color="000000" w:sz="4"/>
                <w:left w:val="none" w:color="000000" w:sz="4"/>
                <w:bottom w:val="none" w:color="000000" w:sz="4"/>
                <w:right w:val="none" w:color="000000" w:sz="4"/>
                <w:insideH w:val="none"/>
                <w:insideV w:val="none"/>
              </w:tblBorders>
            </w:tblPr>
            <w:tblGrid>
              <w:gridCol w:w="273"/>
              <w:gridCol w:w="394"/>
              <w:gridCol w:w="1879"/>
            </w:tblGrid>
            <w:tr>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color w:val="0C0C0C"/>
                      <w:sz w:val="24"/>
                    </w:rPr>
                    <w:t>序号</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color w:val="0C0C0C"/>
                      <w:sz w:val="24"/>
                    </w:rPr>
                    <w:t>项目</w:t>
                  </w:r>
                </w:p>
              </w:tc>
              <w:tc>
                <w:tcPr>
                  <w:tcW w:type="dxa" w:w="1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b/>
                      <w:color w:val="0C0C0C"/>
                      <w:sz w:val="24"/>
                    </w:rPr>
                    <w:t>备注说明</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1</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实验室运行体系</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熟悉目前运行的体系文件、质量手册、作业指导书。</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2</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业务流程</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掌握实验室运行全部流程，能熟练按照作业指导书操作。</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3</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业务流转</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掌握业务流程中各个环节的流转及流转过程中所涉及到的表格记录填写等。</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4</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质量管理</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按照体系文件要求完成各项内审工作，对实验室所涉及到的仪器、设备、试剂耗材等的使用验收工作。</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5</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实验操作</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样品前处理规范操作、样品上机仪器操作及数据处理、原始记录填写、出具报告等。</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6</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C0C0C"/>
                      <w:sz w:val="24"/>
                    </w:rPr>
                    <w:t>合计</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fangsong" w:hAnsi="fangsong" w:cs="fangsong" w:eastAsia="fangsong"/>
                <w:color w:val="0C0C0C"/>
                <w:sz w:val="24"/>
              </w:rPr>
              <w:t>5</w:t>
            </w:r>
            <w:r>
              <w:rPr>
                <w:rFonts w:ascii="fangsong" w:hAnsi="fangsong" w:cs="fangsong" w:eastAsia="fangsong"/>
                <w:color w:val="0C0C0C"/>
                <w:sz w:val="24"/>
              </w:rPr>
              <w:t>、技术服务方式：</w:t>
            </w:r>
          </w:p>
          <w:p>
            <w:pPr>
              <w:pStyle w:val="null3"/>
              <w:ind w:firstLine="480"/>
              <w:jc w:val="both"/>
            </w:pPr>
            <w:r>
              <w:rPr>
                <w:rFonts w:ascii="fangsong" w:hAnsi="fangsong" w:cs="fangsong" w:eastAsia="fangsong"/>
                <w:color w:val="0C0C0C"/>
                <w:sz w:val="24"/>
              </w:rPr>
              <w:t>1)、由乙方派遣技术人员到甲方开展检测实验及相关工作。</w:t>
            </w:r>
          </w:p>
          <w:p>
            <w:pPr>
              <w:pStyle w:val="null3"/>
              <w:ind w:firstLine="480"/>
              <w:jc w:val="both"/>
            </w:pPr>
            <w:r>
              <w:rPr>
                <w:rFonts w:ascii="fangsong" w:hAnsi="fangsong" w:cs="fangsong" w:eastAsia="fangsong"/>
                <w:color w:val="0C0C0C"/>
                <w:sz w:val="24"/>
              </w:rPr>
              <w:t>2)、按照甲方的质量管理体系完成相关检测设任务及内部资料的填写工作。</w:t>
            </w:r>
          </w:p>
          <w:p>
            <w:pPr>
              <w:pStyle w:val="null3"/>
              <w:ind w:firstLine="480"/>
              <w:jc w:val="both"/>
            </w:pPr>
            <w:r>
              <w:rPr>
                <w:rFonts w:ascii="fangsong" w:hAnsi="fangsong" w:cs="fangsong" w:eastAsia="fangsong"/>
                <w:color w:val="0C0C0C"/>
                <w:sz w:val="24"/>
              </w:rPr>
              <w:t>3)、为甲方进行检测数据统计、分析及出具相关报告。</w:t>
            </w:r>
          </w:p>
          <w:p>
            <w:pPr>
              <w:pStyle w:val="null3"/>
              <w:ind w:firstLine="480"/>
              <w:jc w:val="both"/>
            </w:pPr>
            <w:r>
              <w:rPr>
                <w:rFonts w:ascii="fangsong" w:hAnsi="fangsong" w:cs="fangsong" w:eastAsia="fangsong"/>
                <w:color w:val="0C0C0C"/>
                <w:sz w:val="24"/>
              </w:rPr>
              <w:t>4)、依据甲方的作业指导书现场对仪器设备进行日常维护与保养。</w:t>
            </w:r>
          </w:p>
          <w:p>
            <w:pPr>
              <w:pStyle w:val="null3"/>
              <w:ind w:firstLine="480"/>
              <w:jc w:val="both"/>
            </w:pPr>
            <w:r>
              <w:rPr>
                <w:rFonts w:ascii="fangsong" w:hAnsi="fangsong" w:cs="fangsong" w:eastAsia="fangsong"/>
                <w:color w:val="0C0C0C"/>
                <w:sz w:val="24"/>
              </w:rPr>
              <w:t>5)、及时告知甲方按照体系文件要求对仪器设备的检定校准、实验室的危废处理等需第三方完成的工作。</w:t>
            </w:r>
          </w:p>
          <w:p>
            <w:pPr>
              <w:pStyle w:val="null3"/>
              <w:jc w:val="both"/>
            </w:pPr>
            <w:r>
              <w:rPr>
                <w:rFonts w:ascii="fangsong" w:hAnsi="fangsong" w:cs="fangsong" w:eastAsia="fangsong"/>
                <w:color w:val="0C0C0C"/>
                <w:sz w:val="24"/>
              </w:rPr>
              <w:t>6)、甲方临时性委托乙方提供非合同约定内容的技术升级、技术咨询、技术标准制定等其他技术服务，服务的具体内容和形式由甲乙双方以补充协议另行约定为准。</w:t>
            </w:r>
          </w:p>
        </w:tc>
      </w:tr>
    </w:tbl>
    <w:p>
      <w:pPr>
        <w:pStyle w:val="null3"/>
        <w:outlineLvl w:val="2"/>
      </w:pPr>
      <w:r>
        <w:rPr>
          <w:b/>
          <w:sz w:val="28"/>
        </w:rPr>
        <w:t>3.2.3人员配置要求</w:t>
      </w:r>
    </w:p>
    <w:p>
      <w:pPr>
        <w:pStyle w:val="null3"/>
      </w:pPr>
      <w:r>
        <w:rPr/>
        <w:t>采购包1：</w:t>
      </w:r>
    </w:p>
    <w:p>
      <w:pPr>
        <w:pStyle w:val="null3"/>
      </w:pPr>
      <w:r>
        <w:rPr/>
        <w:t>符合采购需求；</w:t>
      </w:r>
    </w:p>
    <w:p>
      <w:pPr>
        <w:pStyle w:val="null3"/>
      </w:pPr>
      <w:r>
        <w:rPr/>
        <w:t>采购包2：</w:t>
      </w:r>
    </w:p>
    <w:p>
      <w:pPr>
        <w:pStyle w:val="null3"/>
      </w:pPr>
      <w:r>
        <w:rPr/>
        <w:t>符合采购需求；</w:t>
      </w:r>
    </w:p>
    <w:p>
      <w:pPr>
        <w:pStyle w:val="null3"/>
      </w:pPr>
      <w:r>
        <w:rPr/>
        <w:t>采购包3：</w:t>
      </w:r>
    </w:p>
    <w:p>
      <w:pPr>
        <w:pStyle w:val="null3"/>
      </w:pPr>
      <w:r>
        <w:rPr/>
        <w:t>符合采购需求；</w:t>
      </w:r>
    </w:p>
    <w:p>
      <w:pPr>
        <w:pStyle w:val="null3"/>
        <w:outlineLvl w:val="2"/>
      </w:pPr>
      <w:r>
        <w:rPr>
          <w:b/>
          <w:sz w:val="28"/>
        </w:rPr>
        <w:t>3.2.4设施设备要求</w:t>
      </w:r>
    </w:p>
    <w:p>
      <w:pPr>
        <w:pStyle w:val="null3"/>
      </w:pPr>
      <w:r>
        <w:rPr/>
        <w:t>采购包1：</w:t>
      </w:r>
    </w:p>
    <w:p>
      <w:pPr>
        <w:pStyle w:val="null3"/>
      </w:pPr>
      <w:r>
        <w:rPr/>
        <w:t>符合采购需求；</w:t>
      </w:r>
    </w:p>
    <w:p>
      <w:pPr>
        <w:pStyle w:val="null3"/>
      </w:pPr>
      <w:r>
        <w:rPr/>
        <w:t>采购包2：</w:t>
      </w:r>
    </w:p>
    <w:p>
      <w:pPr>
        <w:pStyle w:val="null3"/>
      </w:pPr>
      <w:r>
        <w:rPr/>
        <w:t>符合采购需求；</w:t>
      </w:r>
    </w:p>
    <w:p>
      <w:pPr>
        <w:pStyle w:val="null3"/>
      </w:pPr>
      <w:r>
        <w:rPr/>
        <w:t>采购包3：</w:t>
      </w:r>
    </w:p>
    <w:p>
      <w:pPr>
        <w:pStyle w:val="null3"/>
      </w:pPr>
      <w:r>
        <w:rPr/>
        <w:t>符合采购需求；</w:t>
      </w:r>
    </w:p>
    <w:p>
      <w:pPr>
        <w:pStyle w:val="null3"/>
        <w:outlineLvl w:val="2"/>
      </w:pPr>
      <w:r>
        <w:rPr>
          <w:b/>
          <w:sz w:val="28"/>
        </w:rPr>
        <w:t>3.2.5其他要求</w:t>
      </w:r>
    </w:p>
    <w:p>
      <w:pPr>
        <w:pStyle w:val="null3"/>
      </w:pPr>
      <w:r>
        <w:rPr/>
        <w:t>采购包1：</w:t>
      </w:r>
    </w:p>
    <w:p>
      <w:pPr>
        <w:pStyle w:val="null3"/>
      </w:pPr>
      <w:r>
        <w:rPr/>
        <w:t>按照合同要求完成服务内容；</w:t>
      </w:r>
    </w:p>
    <w:p>
      <w:pPr>
        <w:pStyle w:val="null3"/>
      </w:pPr>
      <w:r>
        <w:rPr/>
        <w:t>采购包2：</w:t>
      </w:r>
    </w:p>
    <w:p>
      <w:pPr>
        <w:pStyle w:val="null3"/>
      </w:pPr>
      <w:r>
        <w:rPr/>
        <w:t>按照合同要求完成服务内容；</w:t>
      </w:r>
    </w:p>
    <w:p>
      <w:pPr>
        <w:pStyle w:val="null3"/>
      </w:pPr>
      <w:r>
        <w:rPr/>
        <w:t>采购包3：</w:t>
      </w:r>
    </w:p>
    <w:p>
      <w:pPr>
        <w:pStyle w:val="null3"/>
      </w:pPr>
      <w:r>
        <w:rPr/>
        <w:t>按照合同要求完成服务内容；</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自合同签订之日起至2024年10月31日</w:t>
      </w:r>
    </w:p>
    <w:p>
      <w:pPr>
        <w:pStyle w:val="null3"/>
      </w:pPr>
      <w:r>
        <w:rPr/>
        <w:t>采购包2：</w:t>
      </w:r>
    </w:p>
    <w:p>
      <w:pPr>
        <w:pStyle w:val="null3"/>
      </w:pPr>
      <w:r>
        <w:rPr/>
        <w:t>自合同签订之日起至2024年10月31日</w:t>
      </w:r>
    </w:p>
    <w:p>
      <w:pPr>
        <w:pStyle w:val="null3"/>
      </w:pPr>
      <w:r>
        <w:rPr/>
        <w:t>采购包3：</w:t>
      </w:r>
    </w:p>
    <w:p>
      <w:pPr>
        <w:pStyle w:val="null3"/>
      </w:pPr>
      <w:r>
        <w:rPr/>
        <w:t>自合同签订之日起至2024年10月31日</w:t>
      </w:r>
    </w:p>
    <w:p>
      <w:pPr>
        <w:pStyle w:val="null3"/>
        <w:outlineLvl w:val="3"/>
      </w:pPr>
      <w:r>
        <w:rPr>
          <w:b/>
          <w:sz w:val="24"/>
        </w:rPr>
        <w:t>3.3.2服务地点</w:t>
      </w:r>
    </w:p>
    <w:p>
      <w:pPr>
        <w:pStyle w:val="null3"/>
      </w:pPr>
      <w:r>
        <w:rPr/>
        <w:t>采购包1：</w:t>
      </w:r>
    </w:p>
    <w:p>
      <w:pPr>
        <w:pStyle w:val="null3"/>
      </w:pPr>
      <w:r>
        <w:rPr/>
        <w:t>西安市长安区农产品质量安全检验监测中心</w:t>
      </w:r>
    </w:p>
    <w:p>
      <w:pPr>
        <w:pStyle w:val="null3"/>
      </w:pPr>
      <w:r>
        <w:rPr/>
        <w:t>采购包2：</w:t>
      </w:r>
    </w:p>
    <w:p>
      <w:pPr>
        <w:pStyle w:val="null3"/>
      </w:pPr>
      <w:r>
        <w:rPr/>
        <w:t>西安市长安区农产品质量安全检验监测中心</w:t>
      </w:r>
    </w:p>
    <w:p>
      <w:pPr>
        <w:pStyle w:val="null3"/>
      </w:pPr>
      <w:r>
        <w:rPr/>
        <w:t>采购包3：</w:t>
      </w:r>
    </w:p>
    <w:p>
      <w:pPr>
        <w:pStyle w:val="null3"/>
      </w:pPr>
      <w:r>
        <w:rPr/>
        <w:t>西安市长安区农产品质量安全检验监测中心</w:t>
      </w:r>
    </w:p>
    <w:p>
      <w:pPr>
        <w:pStyle w:val="null3"/>
        <w:outlineLvl w:val="3"/>
      </w:pPr>
      <w:r>
        <w:rPr>
          <w:b/>
          <w:sz w:val="24"/>
        </w:rPr>
        <w:t>3.3.3考核（验收）标准和方法</w:t>
      </w:r>
    </w:p>
    <w:p>
      <w:pPr>
        <w:pStyle w:val="null3"/>
      </w:pPr>
      <w:r>
        <w:rPr/>
        <w:t>采购包1：</w:t>
      </w:r>
    </w:p>
    <w:p>
      <w:pPr>
        <w:pStyle w:val="null3"/>
      </w:pPr>
      <w:r>
        <w:rPr/>
        <w:t>1.供应商抽样工作要留有照片资料，在抽检工作完成后随检验报告一同递交采购人，并只可向采购人报告检验结果，未经采购人同意供应商不得私自向社会或被检单位透漏抽检相关信息。所有检测工作完毕后，由采购人签发《验收合格单》。 2.验收不合格的成交单位，必须在接到通知后5个日历日内确保验收工作符合甲方要求。若接到通知后7个日历日内验收仍不合格，采购人可提出索赔或取消与其签署的成交合同。采购人将把成交资格授予评审排序下一名的成交供应商。 3.验收依据 3.1合同文本及合同补充文件(条款)。 3.2竞争性磋商文件。 3.3成交单位的响应文件。 3.4相关的检验报告。 3.5国家或行业相应的标准、规范。</w:t>
      </w:r>
    </w:p>
    <w:p>
      <w:pPr>
        <w:pStyle w:val="null3"/>
      </w:pPr>
      <w:r>
        <w:rPr/>
        <w:t>采购包2：</w:t>
      </w:r>
    </w:p>
    <w:p>
      <w:pPr>
        <w:pStyle w:val="null3"/>
      </w:pPr>
      <w:r>
        <w:rPr/>
        <w:t>1.供应商抽样工作要留有照片资料，在抽检工作完成后随检验报告一同递交采购人，并只可向采购人报告检验结果，未经采购人同意供应商不得私自向社会或被检单位透漏抽检相关信息。所有检测工作完毕后，由采购人签发《验收合格单》。 2.验收不合格的成交单位，必须在接到通知后5个日历日内确保验收工作符合甲方要求。若接到通知后7个日历日内验收仍不合格，采购人可提出索赔或取消与其签署的成交合同。采购人将把成交资格授予评审排序下一名的成交供应商。 3.验收依据 3.1合同文本及合同补充文件(条款)。 3.2竞争性磋商文件。 3.3成交单位的响应文件。 3.4相关的检验报告。 3.5国家或行业相应的标准、规范。</w:t>
      </w:r>
    </w:p>
    <w:p>
      <w:pPr>
        <w:pStyle w:val="null3"/>
      </w:pPr>
      <w:r>
        <w:rPr/>
        <w:t>采购包3：</w:t>
      </w:r>
    </w:p>
    <w:p>
      <w:pPr>
        <w:pStyle w:val="null3"/>
      </w:pPr>
      <w:r>
        <w:rPr/>
        <w:t>完成对采购人实验室进行体系技术指导服务、检测技术指导服务、检测仪器设备维保服务、质量体系文件的编写、实验室检测能力提升服务，按规定的时间完成样品检测任务。按照《检验检测机构资质认定管理办法》、《检验检测机构资质认定评审准则》、《农产品质量安全检测机构考核办法》、《农产品质量安全检测机构考核评审细则》要求，使采购人实验室能够正常运转，符合实验室检验检测机构考核评审标准。</w:t>
      </w:r>
    </w:p>
    <w:p>
      <w:pPr>
        <w:pStyle w:val="null3"/>
        <w:outlineLvl w:val="3"/>
      </w:pPr>
      <w:r>
        <w:rPr>
          <w:b/>
          <w:sz w:val="24"/>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本项目无预付款，服务工作完成后，乙方向甲方出据项目实施中所有的抽样单、汇总单、检测报告、风险分析报告等资料，经甲方上级单位验收合格拨款后，一次性向乙方支付合同价款</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本项目无预付款，服务工作完成后，乙方向甲方出据项目实施中所有的抽样单、汇总单、检测报告、风险分析报告等资料，经甲方上级单位验收合格拨款后，一次性向乙方支付合同价款</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本项目无预付款，服务工作完成后，乙方向甲方出据项目实施中所有合同规定的资料，经甲方上级单位验收合格拨款后，一次性向乙方支付合同价款</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违约责任：1、依据《中华人民共和国民法典》的相关条款和本合同约定，乙方未全面履行合同义务的，甲方有权终止合同，依法向乙方进行经济索赔。甲方违约的，应当赔偿给乙方造成的经济损失。 2、因甲方单方原因造成的返工，甲方除了支付本合同规定的经费外，还需增付因此增加的实际费用。 3、如乙方的检测服务不符合本合同约定，甲方有权要求乙方返工。乙方返工两次后仍无法达到合同约定，甲方有权单方解除合同。甲方单方解除合同的，有权要求乙方承担给甲方造成的损失，包括但不限于直接损失、间接损失、律师费、诉讼费等。 4、若乙方在合同有效期内单方终止合同，应当承担因此给甲方造成的全部损失赔偿，包括但不限于直接损失、间接损失，以及甲方因维权所产生的律师费、诉讼费、公证费、差旅费等全部费用。 5、未经甲方书面同意，乙方擅自转包本合同义务的，甲方有权立即单方面解除本合同，要求乙方承担全部已付费用20%的违约金，给甲方造成损失的，乙方应当及时、完整地予以赔偿，包括但不限于直接损失、间接损失，以及甲方因维权所产生的律师费、诉讼费、公证费、差旅费等全部费用。 6、乙方履行本合同过程中给自身或第三方造成的人身或财产损失，均由乙方承担；给甲方造成损失的，乙方应当及时、完整地予以赔偿，包括但不限于直接损失、间接损失，以及甲方因维权所产生的律师费、诉讼费、公证费、差旅费等全部费用。 7、乙方违反本合同保密条款约定的，应承担全部已付费用20%的违约金，并及时、完整地赔偿给甲方造成的损失，包括但不限于直接损失、间接损失，以及甲方因维权所产生的律师费、诉讼费、公证费、差旅费等全部费用。 8、甲方未按照本合同约定及时支付检测费用的，应按照应付未付金额5%每日的标准向乙方支付逾期付款利息，甲方逾期付款超过30日的，乙方有权立即单方面解除本合同，要求甲方承担全部合同金额20%的违约金，给乙方造成损失的，甲方应当及时、完整地予以赔偿，包括但不限于直接损失、间接损失，以及乙方因维权所产生的律师费、诉讼费、公证费、差旅费等全部费用。 争议解决： 合同执行中发生争议的，当事人双方应协商解决，协商达不成一致时，可向乙方所在地有管辖权的人民法院提请诉讼。 如果因不可抗力影响合同正常履行，甲乙双方协商顺延工作时限。因发生不可抗力导致履行迟延的，双方互不负担违约责任，但已违约一方不因不可抗力而免除其违约责任。</w:t>
      </w:r>
    </w:p>
    <w:p>
      <w:pPr>
        <w:pStyle w:val="null3"/>
      </w:pPr>
      <w:r>
        <w:rPr/>
        <w:t>采购包2：</w:t>
      </w:r>
    </w:p>
    <w:p>
      <w:pPr>
        <w:pStyle w:val="null3"/>
      </w:pPr>
      <w:r>
        <w:rPr/>
        <w:t>违约责任：1、依据《中华人民共和国民法典》的相关条款和本合同约定，乙方未全面履行合同义务的，甲方有权终止合同，依法向乙方进行经济索赔。甲方违约的，应当赔偿给乙方造成的经济损失。 2、因甲方单方原因造成的返工，甲方除了支付本合同规定的经费外，还需增付因此增加的实际费用。 3、如乙方的检测服务不符合本合同约定，甲方有权要求乙方返工。乙方返工两次后仍无法达到合同约定，甲方有权单方解除合同。甲方单方解除合同的，有权要求乙方承担给甲方造成的损失，包括但不限于直接损失、间接损失、律师费、诉讼费等。 4、若乙方在合同有效期内单方终止合同，应当承担因此给甲方造成的全部损失赔偿，包括但不限于直接损失、间接损失，以及甲方因维权所产生的律师费、诉讼费、公证费、差旅费等全部费用。 5、未经甲方书面同意，乙方擅自转包本合同义务的，甲方有权立即单方面解除本合同，要求乙方承担全部已付费用20%的违约金，给甲方造成损失的，乙方应当及时、完整地予以赔偿，包括但不限于直接损失、间接损失，以及甲方因维权所产生的律师费、诉讼费、公证费、差旅费等全部费用。 6、乙方履行本合同过程中给自身或第三方造成的人身或财产损失，均由乙方承担；给甲方造成损失的，乙方应当及时、完整地予以赔偿，包括但不限于直接损失、间接损失，以及甲方因维权所产生的律师费、诉讼费、公证费、差旅费等全部费用。 7、乙方违反本合同保密条款约定的，应承担全部已付费用20%的违约金，并及时、完整地赔偿给甲方造成的损失，包括但不限于直接损失、间接损失，以及甲方因维权所产生的律师费、诉讼费、公证费、差旅费等全部费用。 8、甲方未按照本合同约定及时支付检测费用的，应按照应付未付金额5%每日的标准向乙方支付逾期付款利息，甲方逾期付款超过30日的，乙方有权立即单方面解除本合同，要求甲方承担全部合同金额20%的违约金，给乙方造成损失的，甲方应当及时、完整地予以赔偿，包括但不限于直接损失、间接损失，以及乙方因维权所产生的律师费、诉讼费、公证费、差旅费等全部费用。 争议解决： 合同执行中发生争议的，当事人双方应协商解决，协商达不成一致时，可向乙方所在地有管辖权的人民法院提请诉讼。 如果因不可抗力影响合同正常履行，甲乙双方协商顺延工作时限。因发生不可抗力导致履行迟延的，双方互不负担违约责任，但已违约一方不因不可抗力而免除其违约责任。</w:t>
      </w:r>
    </w:p>
    <w:p>
      <w:pPr>
        <w:pStyle w:val="null3"/>
      </w:pPr>
      <w:r>
        <w:rPr/>
        <w:t>采购包3：</w:t>
      </w:r>
    </w:p>
    <w:p>
      <w:pPr>
        <w:pStyle w:val="null3"/>
      </w:pPr>
      <w:r>
        <w:rPr/>
        <w:t>违约责任：1、依据《中华人民共和国民法典》的相关条款和本合同约定，乙方未全面履行合同义务的，甲方有权终止合同，依法向乙方进行经济索赔。甲方违约的，应当赔偿给乙方造成的经济损失。 2、因甲方单方原因造成的返工，甲方除了支付本合同规定的经费外，还需增付因此增加的实际费用。 3、如乙方的检测服务不符合本合同约定，甲方有权要求乙方返工。乙方返工两次后仍无法达到合同约定，甲方有权单方解除合同。甲方单方解除合同的，有权要求乙方承担给甲方造成的损失，包括但不限于直接损失、间接损失、律师费、诉讼费等。 4、若乙方在合同有效期内单方终止合同，应当承担因此给甲方造成的全部损失赔偿，包括但不限于直接损失、间接损失，以及甲方因维权所产生的律师费、诉讼费、公证费、差旅费等全部费用。 5、未经甲方书面同意，乙方擅自转包本合同义务的，甲方有权立即单方面解除本合同，要求乙方承担全部已付费用20%的违约金，给甲方造成损失的，乙方应当及时、完整地予以赔偿，包括但不限于直接损失、间接损失，以及甲方因维权所产生的律师费、诉讼费、公证费、差旅费等全部费用。 6、乙方履行本合同过程中给自身或第三方造成的人身或财产损失，均由乙方承担；给甲方造成损失的，乙方应当及时、完整地予以赔偿，包括但不限于直接损失、间接损失，以及甲方因维权所产生的律师费、诉讼费、公证费、差旅费等全部费用。 7、乙方违反本合同保密条款约定的，应承担全部已付费用20%的违约金，并及时、完整地赔偿给甲方造成的损失，包括但不限于直接损失、间接损失，以及甲方因维权所产生的律师费、诉讼费、公证费、差旅费等全部费用。 8、甲方未按照本合同约定及时支付检测费用的，应按照应付未付金额5%每日的标准向乙方支付逾期付款利息，甲方逾期付款超过30日的，乙方有权立即单方面解除本合同，要求甲方承担全部合同金额20%的违约金，给乙方造成损失的，甲方应当及时、完整地予以赔偿，包括但不限于直接损失、间接损失，以及乙方因维权所产生的律师费、诉讼费、公证费、差旅费等全部费用。 争议解决： 合同执行中发生争议的，当事人双方应协商解决，协商达不成一致时，可向乙方所在地有管辖权的人民法院提请诉讼。 如果因不可抗力影响合同正常履行，甲乙双方协商顺延工作时限。因发生不可抗力导致履行迟延的，双方互不负担违约责任，但已违约一方不因不可抗力而免除其违约责任。</w:t>
      </w:r>
    </w:p>
    <w:p>
      <w:pPr>
        <w:pStyle w:val="null3"/>
        <w:outlineLvl w:val="2"/>
      </w:pPr>
      <w:r>
        <w:rPr>
          <w:b/>
          <w:sz w:val="28"/>
        </w:rPr>
        <w:t>3.4其他要求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2）税收缴纳证明：提供开标前六个月内任意一个月已缴纳完税凭证或税务机关开具的完税证明（时间以税款所属日期为准、税种须同时包含增值税或企业所得税），依法免税或无须缴纳税收的投标人应提供相关文件证明；（3）社会保障资金缴纳证明：提供开标前六个月内任意一个月已缴纳的社会保障资金缴存单据或社保机构开具的社会保险参保缴费情况证明，依法不需要缴纳社会保障资金的投标人应提供相关证明；（4）具备履行合同所必需的设备和专业技术能力的证明材料(由供应商根据项目需求提供说明材料 或者承诺)；（5）提供参加政府采购活动前三年内在经营活动中没有重大违法记录的书面声明；（6）供应商需在项目电子化交易系统中按要求填写《投标函》完成承诺并进行电子签章。</w:t>
            </w:r>
          </w:p>
        </w:tc>
        <w:tc>
          <w:tcPr>
            <w:tcW w:type="dxa" w:w="1661"/>
          </w:tcPr>
          <w:p>
            <w:pPr>
              <w:pStyle w:val="null3"/>
            </w:pPr>
            <w:r>
              <w:rPr/>
              <w:t>响应文件封面 服务内容及服务邀请应答表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财务状况报告：提供经审计的2022年度或2023年度的财务报告或提交磋商响应文件截止时间前六个月内其基本账户开户银行出具的资信证明（附开户许可证或开户备案证明）；其他组织和自然人提供银行出具的资信证明或财务报表； （2）供应商需在项目电子化交易系统中按要求上传相应证明文件并进行电子签章。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2）税收缴纳证明：提供开标前六个月内任意一个月已缴纳完税凭证或税务机关开具的完税证明（时间以税款所属日期为准、税种须同时包含增值税或企业所得税），依法免税或无须缴纳税收的投标人应提供相关文件证明；（3）社会保障资金缴纳证明：提供开标前六个月内任意一个月已缴纳的社会保障资金缴存单据或社保机构开具的社会保险参保缴费情况证明，依法不需要缴纳社会保障资金的投标人应提供相关证明；（4）具备履行合同所必需的设备和专业技术能力的证明材料(由供应商根据项目需求提供说明材料 或者承诺)；（5）提供参加政府采购活动前三年内在经营活动中没有重大违法记录的书面声明；（6）供应商需在项目电子化交易系统中按要求填写《投标函》完成承诺并进行电子签章。</w:t>
            </w:r>
          </w:p>
        </w:tc>
        <w:tc>
          <w:tcPr>
            <w:tcW w:type="dxa" w:w="1661"/>
          </w:tcPr>
          <w:p>
            <w:pPr>
              <w:pStyle w:val="null3"/>
            </w:pPr>
            <w:r>
              <w:rPr/>
              <w:t>响应文件封面 服务内容及服务邀请应答表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财务状况报告：提供经审计的2022年度或2023年度的财务报告或提交磋商响应文件截止时间前六个月内其基本账户开户银行出具的资信证明（附开户许可证或开户备案证明）；其他组织和自然人提供银行出具的资信证明或财务报表； （2）供应商需在项目电子化交易系统中按要求上传相应证明文件并进行电子签章。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2）税收缴纳证明：提供开标前六个月内任意一个月已缴纳完税凭证或税务机关开具的完税证明（时间以税款所属日期为准、税种须同时包含增值税或企业所得税），依法免税或无须缴纳税收的投标人应提供相关文件证明；（3）社会保障资金缴纳证明：提供开标前六个月内任意一个月已缴纳的社会保障资金缴存单据或社保机构开具的社会保险参保缴费情况证明，依法不需要缴纳社会保障资金的投标人应提供相关证明；（4）具有履行合同所必须的设备和专业技术能力的承诺及说明；(由供应商根据项目需求提供说明材料或者承诺)；（5）提供参加政府采购活动前三年内在经营活动中没有重大违法记录的书面声明；（6）供应商需在项目电子化交易系统中按要求填写《投标函》完成承诺并进行电子签章。</w:t>
            </w:r>
          </w:p>
        </w:tc>
        <w:tc>
          <w:tcPr>
            <w:tcW w:type="dxa" w:w="1661"/>
          </w:tcPr>
          <w:p>
            <w:pPr>
              <w:pStyle w:val="null3"/>
            </w:pPr>
            <w:r>
              <w:rPr/>
              <w:t>响应文件封面 服务内容及服务邀请应答表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财务状况报告：提供经审计的2022年度或2023年度的财务报告或提交磋商响应文件截止时间前六个月内其基本账户开户银行出具的资信证明（附开户许可证或开户备案证明）；其他组织和自然人提供银行出具的资信证明或财务报表； （2）供应商需在项目电子化交易系统中按要求上传相应证明文件并进行电子签章。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本采购包非专门面向中小企业采购。</w:t>
            </w:r>
          </w:p>
        </w:tc>
        <w:tc>
          <w:tcPr>
            <w:tcW w:type="dxa" w:w="3322"/>
          </w:tcPr>
          <w:p>
            <w:pPr>
              <w:pStyle w:val="null3"/>
            </w:pPr>
            <w:r>
              <w:rPr/>
              <w:t>参与的供应商（联合体）服务全部由符合政策要求的大中小企业承接。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本采购包非专门面向中小企业采购。</w:t>
            </w:r>
          </w:p>
        </w:tc>
        <w:tc>
          <w:tcPr>
            <w:tcW w:type="dxa" w:w="3322"/>
          </w:tcPr>
          <w:p>
            <w:pPr>
              <w:pStyle w:val="null3"/>
            </w:pPr>
            <w:r>
              <w:rPr/>
              <w:t>参与的供应商（联合体）服务全部由符合政策要求的大中小企业承接。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本采购包非专门面向中小企业采购。</w:t>
            </w:r>
          </w:p>
        </w:tc>
        <w:tc>
          <w:tcPr>
            <w:tcW w:type="dxa" w:w="3322"/>
          </w:tcPr>
          <w:p>
            <w:pPr>
              <w:pStyle w:val="null3"/>
            </w:pPr>
            <w:r>
              <w:rPr/>
              <w:t>参与的供应商（联合体）服务全部由符合政策要求的大中小企业承接。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的财务报告或提交磋商响应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提供响应文件递交截止日前一年内已缴存的至少一个月的纳税证明或完税证明。依法免税的供应商应提供相关文件证明；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专业技术能力的声明</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法定代表人授权书，法定代表人直接参加磋商只须提供法定代表人身份证明。(式样见竞争性磋商响应文件格式)</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资质证书</w:t>
            </w:r>
          </w:p>
        </w:tc>
        <w:tc>
          <w:tcPr>
            <w:tcW w:type="dxa" w:w="3322"/>
          </w:tcPr>
          <w:p>
            <w:pPr>
              <w:pStyle w:val="null3"/>
            </w:pPr>
            <w:r>
              <w:rPr/>
              <w:t>具备合法有效的CMA检验检测机构资质认定证书、CATL农产品质量安全检测机构考核合格证书；</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供应商信用</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信用承诺</w:t>
            </w:r>
          </w:p>
        </w:tc>
        <w:tc>
          <w:tcPr>
            <w:tcW w:type="dxa" w:w="3322"/>
          </w:tcPr>
          <w:p>
            <w:pPr>
              <w:pStyle w:val="null3"/>
            </w:pPr>
            <w:r>
              <w:rPr/>
              <w:t>单位负责人为同一人或者存在直接控股、管理关系的不同供应商，不得参加同一合同项下的政府采购活动；(国家企业信用信息公示系统”网站进行查询)</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本项目不接受联合体磋商。</w:t>
            </w:r>
          </w:p>
        </w:tc>
        <w:tc>
          <w:tcPr>
            <w:tcW w:type="dxa" w:w="3322"/>
          </w:tcPr>
          <w:p>
            <w:pPr>
              <w:pStyle w:val="null3"/>
            </w:pPr>
            <w:r>
              <w:rPr/>
              <w:t>提供非联合体声明。</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的财务报告或提交磋商响应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提供响应文件递交截止日前一年内已缴存的至少一个月的纳税证明或完税证明。依法免税的供应商应提供相关文件证明；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专业技术能力的声明</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法定代表人授权书，法定代表人直接参加磋商只须提供法定代表人身份证明。(式样见竞争性磋商响应文件格式)</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资质证书</w:t>
            </w:r>
          </w:p>
        </w:tc>
        <w:tc>
          <w:tcPr>
            <w:tcW w:type="dxa" w:w="3322"/>
          </w:tcPr>
          <w:p>
            <w:pPr>
              <w:pStyle w:val="null3"/>
            </w:pPr>
            <w:r>
              <w:rPr/>
              <w:t>具备合法有效的CMA检验检测机构资质认定证书、CATL农产品质量安全检测机构考核合格证书；</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供应商信用</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信用承诺</w:t>
            </w:r>
          </w:p>
        </w:tc>
        <w:tc>
          <w:tcPr>
            <w:tcW w:type="dxa" w:w="3322"/>
          </w:tcPr>
          <w:p>
            <w:pPr>
              <w:pStyle w:val="null3"/>
            </w:pPr>
            <w:r>
              <w:rPr/>
              <w:t>单位负责人为同一人或者存在直接控股、管理关系的不同供应商，不得参加同一合同项下的政府采购活动；(国家企业信用信息公示系统”网站进行查询)</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本项目不接受联合体磋商。</w:t>
            </w:r>
          </w:p>
        </w:tc>
        <w:tc>
          <w:tcPr>
            <w:tcW w:type="dxa" w:w="3322"/>
          </w:tcPr>
          <w:p>
            <w:pPr>
              <w:pStyle w:val="null3"/>
            </w:pPr>
            <w:r>
              <w:rPr/>
              <w:t>提供非联合体声明。</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的财务报告或提交磋商响应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提供响应文件递交截止日前一年内已缴存的至少一个月的纳税证明或完税证明。依法免税的供应商应提供相关文件证明；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专业技术能力的声明</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法定代表人授权书，法定代表人直接参加磋商只须提供法定代表人身份证明。(式样见竞争性磋商响应文件格式)</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供应商信用</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信用承诺</w:t>
            </w:r>
          </w:p>
        </w:tc>
        <w:tc>
          <w:tcPr>
            <w:tcW w:type="dxa" w:w="3322"/>
          </w:tcPr>
          <w:p>
            <w:pPr>
              <w:pStyle w:val="null3"/>
            </w:pPr>
            <w:r>
              <w:rPr/>
              <w:t>单位负责人为同一人或者存在直接控股、管理关系的不同供应商，不得参加同一合同项下的政府采购活动；(国家企业信用信息公示系统”网站进行查询)</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本项目不接受联合体磋商。</w:t>
            </w:r>
          </w:p>
        </w:tc>
        <w:tc>
          <w:tcPr>
            <w:tcW w:type="dxa" w:w="3322"/>
          </w:tcPr>
          <w:p>
            <w:pPr>
              <w:pStyle w:val="null3"/>
            </w:pPr>
            <w:r>
              <w:rPr/>
              <w:t>提供非联合体声明。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残疾人福利性单位声明函 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残疾人福利性单位声明函 标的清单 报价表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残疾人福利性单位声明函 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根据服务内容结合自身情况制定切实可行的实施服务方案。服务方案的可行性、响应时间、工作方法、预防性管理方法等。满足项目要求，方案内容丰富全面、科学合理、规范的计8(含)-12分；4(含)-8分；不满足项目要求，方案内容不完善、不规范的计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项目检测方案</w:t>
            </w:r>
          </w:p>
        </w:tc>
        <w:tc>
          <w:tcPr>
            <w:tcW w:type="dxa" w:w="2492"/>
          </w:tcPr>
          <w:p>
            <w:pPr>
              <w:pStyle w:val="null3"/>
            </w:pPr>
            <w:r>
              <w:rPr/>
              <w:t>项目检测方案中抽检样品保存、运输方案、样品检测、报告送达时间等方面满足监督抽检检验项目要求。方案内容详尽完善、切实可行的计8(含)-12分；方案内容比较详尽完善、比较切实可行的计4(含)-8分；方案内容比较粗略、不切实际的计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供应商有效质控措施</w:t>
            </w:r>
          </w:p>
        </w:tc>
        <w:tc>
          <w:tcPr>
            <w:tcW w:type="dxa" w:w="2492"/>
          </w:tcPr>
          <w:p>
            <w:pPr>
              <w:pStyle w:val="null3"/>
            </w:pPr>
            <w:r>
              <w:rPr/>
              <w:t>包括设备、试剂的期间核查，报告数据审核、参加能力验证、不同实验室之间比对、机构内部比对、盲样检验等，质量控制应有适当的方法和计划并加以评价。质控措施完整、全面的计4(含)-8分；质控措施一般的计0-4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服务质量和进度的保证措施</w:t>
            </w:r>
          </w:p>
        </w:tc>
        <w:tc>
          <w:tcPr>
            <w:tcW w:type="dxa" w:w="2492"/>
          </w:tcPr>
          <w:p>
            <w:pPr>
              <w:pStyle w:val="null3"/>
            </w:pPr>
            <w:r>
              <w:rPr/>
              <w:t>对本项目详细的进度和后期服务措施承诺，且具体、可行、全面、合理，能够考虑并满足委托人服务的多种需求。满足项目要求，方案内容丰富全面、科学合理、规范的计7(含)-10分；基本满足项目要求，方案内容比较全面、科学合理、规范的计3(含)-7分；不满足项目要求，方案内容不完善、不规范的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具有完善的农产品安全检测制度、检验档案管理制度、责任追究制度等管理制度。制度类别详细，内容全面、完善的计2(含)-4分；制度一般的计0-2分。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拟投入的团队人员配置</w:t>
            </w:r>
          </w:p>
        </w:tc>
        <w:tc>
          <w:tcPr>
            <w:tcW w:type="dxa" w:w="2492"/>
          </w:tcPr>
          <w:p>
            <w:pPr>
              <w:pStyle w:val="null3"/>
            </w:pPr>
            <w:r>
              <w:rPr/>
              <w:t>拟投入的团队人员配置(项目管理、技术、服务人员)专业合理，人员配备齐全、岗位职责明确。团队人员配置合理、齐全、清晰计3(含)-5分；团队人员配置模糊的计0-3分。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专业技术人员</w:t>
            </w:r>
          </w:p>
        </w:tc>
        <w:tc>
          <w:tcPr>
            <w:tcW w:type="dxa" w:w="2492"/>
          </w:tcPr>
          <w:p>
            <w:pPr>
              <w:pStyle w:val="null3"/>
            </w:pPr>
            <w:r>
              <w:rPr/>
              <w:t>拟投入本项目人员有中级或以上技术职称的(提供职称证复印件)，每提供一个计0.5分，最多计5分。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服务能力</w:t>
            </w:r>
          </w:p>
        </w:tc>
        <w:tc>
          <w:tcPr>
            <w:tcW w:type="dxa" w:w="2492"/>
          </w:tcPr>
          <w:p>
            <w:pPr>
              <w:pStyle w:val="null3"/>
            </w:pPr>
            <w:r>
              <w:rPr/>
              <w:t>供应商实验室获得CNAS认证计2分，不提供不计分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工作场地</w:t>
            </w:r>
          </w:p>
        </w:tc>
        <w:tc>
          <w:tcPr>
            <w:tcW w:type="dxa" w:w="2492"/>
          </w:tcPr>
          <w:p>
            <w:pPr>
              <w:pStyle w:val="null3"/>
            </w:pPr>
            <w:r>
              <w:rPr/>
              <w:t>供应商有实验室且实验场所面积达到1000平方米以上的计3分，实验场所面积1000平方米以下的计1分。提供房产证或房屋租赁合同，不提供不计分。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实验室设施配置</w:t>
            </w:r>
          </w:p>
        </w:tc>
        <w:tc>
          <w:tcPr>
            <w:tcW w:type="dxa" w:w="2492"/>
          </w:tcPr>
          <w:p>
            <w:pPr>
              <w:pStyle w:val="null3"/>
            </w:pPr>
            <w:r>
              <w:rPr/>
              <w:t>实验室设施配置(配有农产品冷藏样品存储的专用冷库，提供证明材料得3分，未提供证明材料不得分。）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检测技术指标认证</w:t>
            </w:r>
          </w:p>
        </w:tc>
        <w:tc>
          <w:tcPr>
            <w:tcW w:type="dxa" w:w="2492"/>
          </w:tcPr>
          <w:p>
            <w:pPr>
              <w:pStyle w:val="null3"/>
            </w:pPr>
            <w:r>
              <w:rPr/>
              <w:t>检验项目应当覆盖本次所列参数项目需求同时满足西安市市农发【2024】9号文件规定。供应商针对拟检验项目检测技术指标通过CMA/CATL认证，符合率100%得6分；符合率95%-99%得4分；符合率90%-94%得2分；低于90%得1分。以取得陕西省当地实验室的能力附表为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应急服务方案</w:t>
            </w:r>
          </w:p>
        </w:tc>
        <w:tc>
          <w:tcPr>
            <w:tcW w:type="dxa" w:w="2492"/>
          </w:tcPr>
          <w:p>
            <w:pPr>
              <w:pStyle w:val="null3"/>
            </w:pPr>
            <w:r>
              <w:rPr/>
              <w:t>能够提供应急服务，有类似业务抽检经验。若管辖区出现应急类事件时，可立即派遣相关人员、车辆在2小时内到达指定地点，配合采购方进行采样、调查，并提出相关技术建议。应急服务内容全面、完善、响应及时的计3(含)-6分，应急服务内容不全面、不完善、响应不及时的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检验设备</w:t>
            </w:r>
          </w:p>
        </w:tc>
        <w:tc>
          <w:tcPr>
            <w:tcW w:type="dxa" w:w="2492"/>
          </w:tcPr>
          <w:p>
            <w:pPr>
              <w:pStyle w:val="null3"/>
            </w:pPr>
            <w:r>
              <w:rPr/>
              <w:t>检验机构具有高效液相色谱仪、气相色谱仪、紫外分光光度计、原子荧光分光光度计、原子吸收光谱仪、气相-质谱联用仪、液相-质谱联用仪、电感耦合等离子质谱仪，同种设备不重复加分，每有一种得0.75分，最多计6分。(供应商提供每台仪器设备的图片及购置发票和有效期内校准证书等复印件)</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供应商提供2021年1月1日以来同类项目业绩合同，每提供一份，计2分，满分8分。(以合同为准，合同页码较多的可提供首页、合同内容、金额、时间页、双方盖章页即可，弄虚作假者取消其磋商、成交资格。)</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最终磋商报价)×价格权值(即10%)×100(因落实政府采购政策进行价格调整的，以调整后的价格计算评标基准价和磋商报价)</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根据服务内容结合自身情况制定切实可行的实施服务方案。服务方案的可行性、响应时间、工作方法、预防性管理方法等。满足项目要求，方案内容丰富全面、科学合理、规范的计8(含)-12分；4(含)-8分；不满足项目要求，方案内容不完善、不规范的计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项目检测方案</w:t>
            </w:r>
          </w:p>
        </w:tc>
        <w:tc>
          <w:tcPr>
            <w:tcW w:type="dxa" w:w="2492"/>
          </w:tcPr>
          <w:p>
            <w:pPr>
              <w:pStyle w:val="null3"/>
            </w:pPr>
            <w:r>
              <w:rPr/>
              <w:t>项目检测方案中抽检样品保存、运输方案、样品检测、报告送达时间等方面满足监督抽检检验项目要求。方案内容详尽完善、切实可行的计8(含)-12分；方案内容比较详尽完善、比较切实可行的计4(含)-8分；方案内容比较粗略、不切实际的计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供应商有效质控措施</w:t>
            </w:r>
          </w:p>
        </w:tc>
        <w:tc>
          <w:tcPr>
            <w:tcW w:type="dxa" w:w="2492"/>
          </w:tcPr>
          <w:p>
            <w:pPr>
              <w:pStyle w:val="null3"/>
            </w:pPr>
            <w:r>
              <w:rPr/>
              <w:t>供应商有有效质控措施，包括设备、试剂的期间核查，报告数据审核、参加能力验证、不同实验室之间比对、机构内部比对、盲样检验等，质量控制应有适当的方法和计划并加以评价。质控措施完整、全面的计4(含)-8分；质控措施一般的计0-4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服务质量和进度的保证措施</w:t>
            </w:r>
          </w:p>
        </w:tc>
        <w:tc>
          <w:tcPr>
            <w:tcW w:type="dxa" w:w="2492"/>
          </w:tcPr>
          <w:p>
            <w:pPr>
              <w:pStyle w:val="null3"/>
            </w:pPr>
            <w:r>
              <w:rPr/>
              <w:t>服务质量和进度的保证措施：对本项目详细的进度和后期服务措施承诺，且具体、可行、全面、合理，能够考虑并满足委托人服务的多种需求。满足项目要求，方案内容丰富全面、科学合理、规范的计7(含)-10分；基本满足项目要求，方案内容比较全面、科学合理、规范的计3(含)-7分；不满足项目要求，方案内容不完善、不规范的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具有完善的农产品安全检测制度、检验档案管理制度、责任追究制度等管理制度。制度类别详细，内容全面、完善的计2(含)-4分；制度一般的计0-2分。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拟投入的团队人员配置</w:t>
            </w:r>
          </w:p>
        </w:tc>
        <w:tc>
          <w:tcPr>
            <w:tcW w:type="dxa" w:w="2492"/>
          </w:tcPr>
          <w:p>
            <w:pPr>
              <w:pStyle w:val="null3"/>
            </w:pPr>
            <w:r>
              <w:rPr/>
              <w:t>拟投入的团队人员配置(项目管理、技术、服务人员)专业合理，人员配备齐全、岗位职责明确。团队人员配置合理、齐全、清晰计3(含)-5分；团队人员配置模糊的计0-3分。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专业技术人员</w:t>
            </w:r>
          </w:p>
        </w:tc>
        <w:tc>
          <w:tcPr>
            <w:tcW w:type="dxa" w:w="2492"/>
          </w:tcPr>
          <w:p>
            <w:pPr>
              <w:pStyle w:val="null3"/>
            </w:pPr>
            <w:r>
              <w:rPr/>
              <w:t>拟投入本项目人员有中级或以上技术职称的(提供职称证复印件)，每提供一个计0.5分，最多计5分。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服务能力</w:t>
            </w:r>
          </w:p>
        </w:tc>
        <w:tc>
          <w:tcPr>
            <w:tcW w:type="dxa" w:w="2492"/>
          </w:tcPr>
          <w:p>
            <w:pPr>
              <w:pStyle w:val="null3"/>
            </w:pPr>
            <w:r>
              <w:rPr/>
              <w:t>供应商实验室获得CNAS认证计2分，不提供不计分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工作场地</w:t>
            </w:r>
          </w:p>
        </w:tc>
        <w:tc>
          <w:tcPr>
            <w:tcW w:type="dxa" w:w="2492"/>
          </w:tcPr>
          <w:p>
            <w:pPr>
              <w:pStyle w:val="null3"/>
            </w:pPr>
            <w:r>
              <w:rPr/>
              <w:t>供应商有实验室且实验场所面积达到1000平方米以上的计3分，实验场所面积1000平方米以下的计1分。提供房产证或房屋租赁合同，不提供不计分。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实验室设施配置</w:t>
            </w:r>
          </w:p>
        </w:tc>
        <w:tc>
          <w:tcPr>
            <w:tcW w:type="dxa" w:w="2492"/>
          </w:tcPr>
          <w:p>
            <w:pPr>
              <w:pStyle w:val="null3"/>
            </w:pPr>
            <w:r>
              <w:rPr/>
              <w:t>实验室设施配置(配有农产品冷藏样品存储的专用冷库，提供证明材料得3分，未提供证明材料不得分。）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检测技术指标认证</w:t>
            </w:r>
          </w:p>
        </w:tc>
        <w:tc>
          <w:tcPr>
            <w:tcW w:type="dxa" w:w="2492"/>
          </w:tcPr>
          <w:p>
            <w:pPr>
              <w:pStyle w:val="null3"/>
            </w:pPr>
            <w:r>
              <w:rPr/>
              <w:t>检验项目应当覆盖本次所列参数项目需求同时满足西安市市农发【2024】9号文件规定。供应商针对拟检验项目检测技术指标通过CMA/CATL认证，符合率100%得6分；符合率95%-99%得4分；符合率90%-94%得2分；低于90%得1分。以取得陕西省当地实验室的能力附表为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应急服务方案</w:t>
            </w:r>
          </w:p>
        </w:tc>
        <w:tc>
          <w:tcPr>
            <w:tcW w:type="dxa" w:w="2492"/>
          </w:tcPr>
          <w:p>
            <w:pPr>
              <w:pStyle w:val="null3"/>
            </w:pPr>
            <w:r>
              <w:rPr/>
              <w:t>能够提供应急服务，有类似业务抽检经验。若管辖区出现应急类事件时，可立即派遣相关人员、车辆在2小时内到达指定地点，配合采购方进行采样、调查，并提出相关技术建议。应急服务内容全面、完善、响应及时的计3(含)-6分，应急服务内容不全面、不完善、响应不及时的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检验设备</w:t>
            </w:r>
          </w:p>
        </w:tc>
        <w:tc>
          <w:tcPr>
            <w:tcW w:type="dxa" w:w="2492"/>
          </w:tcPr>
          <w:p>
            <w:pPr>
              <w:pStyle w:val="null3"/>
            </w:pPr>
            <w:r>
              <w:rPr/>
              <w:t>检验机构具有高效液相色谱仪、气相色谱仪、紫外分光光度计、原子荧光分光光度计、原子吸收光谱仪、气相-质谱联用仪、液相-质谱联用仪、电感耦合等离子质谱仪，同种设备不重复加分，每有一种得0.75分，最多计6分。(供应商提供每台仪器设备的图片及购置发票和有效期内校准证书等复印件)</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供应商提供2021年1月1日以来同类项目业绩合同，每提供一份，计2分，满分8分。(以合同为准，合同页码较多的可提供首页、合同内容、金额、时间页、双方盖章页即可，弄虚作假者取消其磋商、成交资格。)</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最终磋商报价)×价格权值(即10%)×100(因落实政府采购政策进行价格调整的，以调整后的价格计算评标基准价和磋商报价)</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体系技术指导和实验技术指导等方面服务方案响应内容齐全，符合项目要求。具体工作方案清晰、完整，主要技术措施科学、先进、合理。磋商小组对所有有效的响应文件进行横向比较，根据响应情况计分：内容齐全、详细、安排科学、合理，针对性强，完全满足项目需求计15(含)-20分；内容基本齐全、安排基本科学合理、针对性较强，较好满足项目需求计10(含)-15分；内容粗略、安排基本科学合理、针对性较弱，基本满足项目需求计5(含)-10分；内容不齐全、安排不科学合理、没有针对性，不能满足项目需求计0-5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针对本项目重点、难点分析</w:t>
            </w:r>
          </w:p>
        </w:tc>
        <w:tc>
          <w:tcPr>
            <w:tcW w:type="dxa" w:w="2492"/>
          </w:tcPr>
          <w:p>
            <w:pPr>
              <w:pStyle w:val="null3"/>
            </w:pPr>
            <w:r>
              <w:rPr/>
              <w:t>针对本项目服务实施过程中的重点难点分析准确、考虑全面，并有相应解决方案，确保项目服务质量。方案思路清晰、科学合理、切实可行，完全满足采购人需求计10(含)-16分；方案基本完善，可实施性一般计5(含)-10分；方案不完善，可实施性较差计0-5分；</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服务质量保障措施</w:t>
            </w:r>
          </w:p>
        </w:tc>
        <w:tc>
          <w:tcPr>
            <w:tcW w:type="dxa" w:w="2492"/>
          </w:tcPr>
          <w:p>
            <w:pPr>
              <w:pStyle w:val="null3"/>
            </w:pPr>
            <w:r>
              <w:rPr/>
              <w:t>根据供应商的工作质量要求的控制、保证体系及保证措施的完善性，工作进度计划安排的合理性进行评价。质量保证措施及方案详尽合理，切实可行计8(含)-12分；质量保证措施及方案基本完整，可行性一般计3(含)-8分；质量保证措施及方案不完整，可行性差计0-3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本项目的实际情况制定具有可操作性的处理突发事件的应急预案，应急方案详细完善、切实可行。磋商小组根据响应情况计分：方案合理，可实施性强计6(含)-11分；方案基本合理，可实施性较强计3(含)-6分；方案不合理，可实施性差计0-3分。</w:t>
            </w:r>
          </w:p>
        </w:tc>
        <w:tc>
          <w:tcPr>
            <w:tcW w:type="dxa" w:w="831"/>
          </w:tcPr>
          <w:p>
            <w:pPr>
              <w:pStyle w:val="null3"/>
              <w:jc w:val="right"/>
            </w:pPr>
            <w:r>
              <w:rPr/>
              <w:t>11.00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项目组人员组成</w:t>
            </w:r>
          </w:p>
        </w:tc>
        <w:tc>
          <w:tcPr>
            <w:tcW w:type="dxa" w:w="2492"/>
          </w:tcPr>
          <w:p>
            <w:pPr>
              <w:pStyle w:val="null3"/>
            </w:pPr>
            <w:r>
              <w:rPr/>
              <w:t>根据本项目拟投入人员的职称、专业、数量、从事类似服务的相关经验等对所有有效供应商进行横向比较，磋商小组根据响应情况计分：人员安排有详细规划，团队架构完整，责任清晰，构成合理计8(含)-13分；只提供人员安排，人员架构模糊计4(含)-8分；员安排模糊、人员配置欠缺计0-4分；</w:t>
            </w:r>
          </w:p>
        </w:tc>
        <w:tc>
          <w:tcPr>
            <w:tcW w:type="dxa" w:w="831"/>
          </w:tcPr>
          <w:p>
            <w:pPr>
              <w:pStyle w:val="null3"/>
              <w:jc w:val="right"/>
            </w:pPr>
            <w:r>
              <w:rPr/>
              <w:t>13.00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针对本项目有详细的服务承诺，包括但不限于服务内容、服务质量、提供的增值服务等，且承诺内容具有可行性。承诺内容全面、合理、可行性强，有针对资金方面的承诺且有利于采购人的计6(含)-10分；承诺内容较全面、合理、可行性一般计3(含)-6分；承诺内容不全面、可行性差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供应商提供2021年1月1日以来同类项目业绩合同，每提供一份，计2分，满分8分。(以合同为准，合同页码较多的可提供首页、合同内容、金额、时间页、双方盖章页即可，弄虚作假者取消其磋商、成交资格。)</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最终磋商报价)×价格权值(即10%)×100(因落实政府采购政策进行价格调整的，以调整后的价格计算评标基准价和磋商报价)</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详见附件：农检中心（定量检测风险分析）合同最终版111.docx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