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西安市长安区太峪河南桥至太乙宫正街桥段山洪沟治理工程勘察设计</w:t>
      </w:r>
    </w:p>
    <w:p>
      <w:pPr>
        <w:pStyle w:val="null3"/>
        <w:jc w:val="center"/>
        <w:outlineLvl w:val="2"/>
      </w:pPr>
      <w:r>
        <w:rPr>
          <w:b/>
          <w:sz w:val="28"/>
        </w:rPr>
        <w:t>采购项目编号：</w:t>
      </w:r>
      <w:r>
        <w:rPr>
          <w:b/>
          <w:sz w:val="28"/>
        </w:rPr>
        <w:t>ZCBN-长安区-2024-00089</w:t>
      </w:r>
      <w:r>
        <w:br/>
      </w:r>
      <w:r>
        <w:br/>
      </w:r>
      <w:r>
        <w:br/>
      </w:r>
    </w:p>
    <w:p>
      <w:pPr>
        <w:pStyle w:val="null3"/>
        <w:jc w:val="center"/>
        <w:outlineLvl w:val="2"/>
      </w:pPr>
      <w:r>
        <w:rPr>
          <w:b/>
          <w:sz w:val="28"/>
        </w:rPr>
        <w:t>西安市长安区潏河管理站</w:t>
      </w:r>
    </w:p>
    <w:p>
      <w:pPr>
        <w:pStyle w:val="null3"/>
        <w:jc w:val="center"/>
        <w:outlineLvl w:val="2"/>
      </w:pPr>
      <w:r>
        <w:rPr>
          <w:b/>
          <w:sz w:val="28"/>
        </w:rPr>
        <w:t>陕西天意达工程咨询有限公司</w:t>
      </w:r>
      <w:r>
        <w:rPr>
          <w:b/>
          <w:sz w:val="28"/>
        </w:rPr>
        <w:t>共同编制</w:t>
      </w:r>
    </w:p>
    <w:p>
      <w:pPr>
        <w:pStyle w:val="null3"/>
        <w:jc w:val="center"/>
        <w:outlineLvl w:val="2"/>
      </w:pPr>
      <w:r>
        <w:rPr>
          <w:b/>
          <w:sz w:val="28"/>
        </w:rPr>
        <w:t>2024年03月28日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陕西天意达工程咨询有限公司</w:t>
      </w:r>
      <w:r>
        <w:rPr/>
        <w:t>（以下简称“代理机构”）受</w:t>
      </w:r>
      <w:r>
        <w:rPr/>
        <w:t>西安市长安区潏河管理站</w:t>
      </w:r>
      <w:r>
        <w:rPr/>
        <w:t>委托，拟对</w:t>
      </w:r>
      <w:r>
        <w:rPr/>
        <w:t>西安市长安区太峪河南桥至太乙宫正街桥段山洪沟治理工程勘察设计</w:t>
      </w:r>
      <w:r>
        <w:rPr/>
        <w:t>采用竞争性磋商采购方式进行采购，兹邀请供应商参加本项目的竞争性磋商。</w:t>
      </w:r>
    </w:p>
    <w:p>
      <w:pPr>
        <w:pStyle w:val="null3"/>
        <w:outlineLvl w:val="2"/>
      </w:pPr>
      <w:r>
        <w:rPr>
          <w:b/>
          <w:sz w:val="28"/>
        </w:rPr>
        <w:t>一、项目编号：</w:t>
      </w:r>
      <w:r>
        <w:rPr>
          <w:b/>
          <w:sz w:val="28"/>
        </w:rPr>
        <w:t>ZCBN-长安区-2024-00089</w:t>
      </w:r>
    </w:p>
    <w:p>
      <w:pPr>
        <w:pStyle w:val="null3"/>
        <w:outlineLvl w:val="2"/>
      </w:pPr>
      <w:r>
        <w:rPr>
          <w:b/>
          <w:sz w:val="28"/>
        </w:rPr>
        <w:t>二、项目名称：</w:t>
      </w:r>
      <w:r>
        <w:rPr>
          <w:b/>
          <w:sz w:val="28"/>
        </w:rPr>
        <w:t>西安市长安区太峪河南桥至太乙宫正街桥段山洪沟治理工程勘察设计</w:t>
      </w:r>
    </w:p>
    <w:p>
      <w:pPr>
        <w:pStyle w:val="null3"/>
        <w:outlineLvl w:val="2"/>
      </w:pPr>
      <w:r>
        <w:rPr>
          <w:b/>
          <w:sz w:val="28"/>
        </w:rPr>
        <w:t>三、磋商项目简介</w:t>
      </w:r>
    </w:p>
    <w:p>
      <w:pPr>
        <w:pStyle w:val="null3"/>
        <w:ind w:firstLine="480"/>
      </w:pPr>
      <w:r>
        <w:rPr/>
        <w:t>本次勘察设计项目，工程规模为：治理河道总长度2km，新建护岸、护基工程。采购范围为：包含但不限于西安市长安区太峪河南桥至太乙宫正街桥段山洪沟治理工程项目勘察、初步设计、施工图设计等相关服务。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采购包1（西安市长安区太峪河南桥至太乙宫正街桥段山洪沟治理工程勘察设计）：属于专门面向中小企业采购。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t>2、资质证书：具备建设行政主管部门颁发的工程勘察（岩土工程）专业乙级（含乙级）以上资质和水利行业工程设计乙级（含乙级）以上资质；</w:t>
      </w:r>
    </w:p>
    <w:p>
      <w:pPr>
        <w:pStyle w:val="null3"/>
      </w:pPr>
      <w:r>
        <w:rPr/>
        <w:t>3、项目负责人：具有注册土木工程师（岩土）注册执业证书及注册土木工程师（水利水电工程）资格证书或水利相关专业中级及以上职称证书；</w:t>
      </w:r>
    </w:p>
    <w:p>
      <w:pPr>
        <w:pStyle w:val="null3"/>
      </w:pPr>
      <w:r>
        <w:rPr/>
        <w:t>4、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5、控股管理关系：单位负责人为同一人或者存在直接控股、管理关系的供应商，不得参加同一合同下的政府采购活动；</w:t>
      </w:r>
    </w:p>
    <w:p>
      <w:pPr>
        <w:pStyle w:val="null3"/>
      </w:pPr>
      <w:r>
        <w:rPr/>
        <w:t>6、联合体：本项目不接受联合体磋商，不允许分包。</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西安市长安区潏河管理站</w:t>
      </w:r>
    </w:p>
    <w:p>
      <w:pPr>
        <w:pStyle w:val="null3"/>
      </w:pPr>
      <w:r>
        <w:rPr/>
        <w:t xml:space="preserve"> 地址： </w:t>
      </w:r>
      <w:r>
        <w:rPr/>
        <w:t>西安市长安区韦曲街办南长安街85号</w:t>
      </w:r>
    </w:p>
    <w:p>
      <w:pPr>
        <w:pStyle w:val="null3"/>
      </w:pPr>
      <w:r>
        <w:rPr/>
        <w:t xml:space="preserve"> 邮编： </w:t>
      </w:r>
      <w:r>
        <w:rPr/>
        <w:t>710100</w:t>
      </w:r>
    </w:p>
    <w:p>
      <w:pPr>
        <w:pStyle w:val="null3"/>
      </w:pPr>
      <w:r>
        <w:rPr/>
        <w:t xml:space="preserve"> 联系人： </w:t>
      </w:r>
      <w:r>
        <w:rPr/>
        <w:t>贾工</w:t>
      </w:r>
    </w:p>
    <w:p>
      <w:pPr>
        <w:pStyle w:val="null3"/>
      </w:pPr>
      <w:r>
        <w:rPr/>
        <w:t xml:space="preserve"> 联系电话： </w:t>
      </w:r>
      <w:r>
        <w:rPr/>
        <w:t>029-85291983</w:t>
      </w:r>
    </w:p>
    <w:p>
      <w:pPr>
        <w:pStyle w:val="null3"/>
        <w:outlineLvl w:val="3"/>
      </w:pPr>
      <w:r>
        <w:rPr>
          <w:b/>
          <w:sz w:val="24"/>
        </w:rPr>
        <w:t>代理机构：</w:t>
      </w:r>
      <w:r>
        <w:rPr>
          <w:b/>
          <w:sz w:val="24"/>
        </w:rPr>
        <w:t>陕西天意达工程咨询有限公司</w:t>
      </w:r>
    </w:p>
    <w:p>
      <w:pPr>
        <w:pStyle w:val="null3"/>
      </w:pPr>
      <w:r>
        <w:rPr/>
        <w:t xml:space="preserve"> 地址： </w:t>
      </w:r>
      <w:r>
        <w:rPr/>
        <w:t>西安市未央区未央路99号荣民中央国际16楼1612室</w:t>
      </w:r>
    </w:p>
    <w:p>
      <w:pPr>
        <w:pStyle w:val="null3"/>
      </w:pPr>
      <w:r>
        <w:rPr/>
        <w:t xml:space="preserve"> 邮编： </w:t>
      </w:r>
      <w:r>
        <w:rPr/>
        <w:t>710000</w:t>
      </w:r>
    </w:p>
    <w:p>
      <w:pPr>
        <w:pStyle w:val="null3"/>
      </w:pPr>
      <w:r>
        <w:rPr/>
        <w:t xml:space="preserve"> 联系人： </w:t>
      </w:r>
      <w:r>
        <w:rPr/>
        <w:t>祝翠</w:t>
      </w:r>
    </w:p>
    <w:p>
      <w:pPr>
        <w:pStyle w:val="null3"/>
      </w:pPr>
      <w:r>
        <w:rPr/>
        <w:t xml:space="preserve"> 联系电话： </w:t>
      </w:r>
      <w:r>
        <w:rPr/>
        <w:t>13519175737</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采购包1：453,400.00元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代理服务费收费标准：代理服务费收费标准：按照人民币大写：壹万元整（小写¥：10000.00元）收取。 磋商代理服务费由成交供应商在领取《成交通知书》前一次性支付给采购代理机构。成交供应商可将此费用考虑在磋商总报价中，采购人不再单独支付。 磋商代理服务费缴纳账户： 开户名称：陕西天意达工程咨询有限公司 开户银行：中国建设银行股份有限公司西安唐延路支行 账号：61001923900052500393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西安市长安区潏河管理站</w:t>
      </w:r>
      <w:r>
        <w:rPr/>
        <w:t>和</w:t>
      </w:r>
      <w:r>
        <w:rPr/>
        <w:t>陕西天意达工程咨询有限公司</w:t>
      </w:r>
      <w:r>
        <w:rPr/>
        <w:t>享有。对磋商文件中供应商参加本次政府采购活动应当具备的条件，磋商项目技术、服务、商务及其他要求，评审细则及标准由</w:t>
      </w:r>
      <w:r>
        <w:rPr/>
        <w:t>西安市长安区潏河管理站</w:t>
      </w:r>
      <w:r>
        <w:rPr/>
        <w:t>负责解释。除上述磋商文件内容，其他内容由</w:t>
      </w:r>
      <w:r>
        <w:rPr/>
        <w:t>陕西天意达工程咨询有限公司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西安市长安区潏河管理站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陕西天意达工程咨询有限公司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1、磋商文件、磋商响应文件、澄清表（函）； 2、本合同及附件文本； 3、国家、行业相应的标准、规范。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陕西天意达工程咨询有限公司</w:t>
      </w:r>
      <w:r>
        <w:rPr/>
        <w:t xml:space="preserve"> 负责答复；供应商对除采购需求外的采购文件的询问、质疑由</w:t>
      </w:r>
      <w:r>
        <w:rPr/>
        <w:t>陕西天意达工程咨询有限公司</w:t>
      </w:r>
      <w:r>
        <w:rPr/>
        <w:t xml:space="preserve"> 负责答复；供应商对采购过程、采购结果的询问、质疑由 </w:t>
      </w:r>
      <w:r>
        <w:rPr/>
        <w:t>陕西天意达工程咨询有限公司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联系人：祝工</w:t>
      </w:r>
    </w:p>
    <w:p>
      <w:pPr>
        <w:pStyle w:val="null3"/>
      </w:pPr>
      <w:r>
        <w:rPr/>
        <w:t>联系电话：13519175737</w:t>
      </w:r>
    </w:p>
    <w:p>
      <w:pPr>
        <w:pStyle w:val="null3"/>
      </w:pPr>
      <w:r>
        <w:rPr/>
        <w:t>地址：西安市未央区未央路99号荣民中央国际16楼1612室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本次勘察设计项目，工程规模为：治理河道总长度2km，新建护岸、护基工程。采购范围为：包含但不限于西安市长安区太峪河南桥至太乙宫正街桥段山洪沟治理工程项目勘察、初步设计、施工图设计等相关服务。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453,400.00</w:t>
      </w:r>
    </w:p>
    <w:p>
      <w:pPr>
        <w:pStyle w:val="null3"/>
      </w:pPr>
      <w:r>
        <w:rPr/>
        <w:t>采购包最高限价（元）: 453,400.00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西安市长安区太峪河南桥至太乙宫正街桥段山洪沟治理工程 勘察设计</w:t>
            </w:r>
          </w:p>
        </w:tc>
        <w:tc>
          <w:tcPr>
            <w:tcW w:type="dxa" w:w="831"/>
          </w:tcPr>
          <w:p>
            <w:pPr>
              <w:pStyle w:val="null3"/>
              <w:jc w:val="right"/>
            </w:pPr>
            <w:r>
              <w:rPr/>
              <w:t>1.00</w:t>
            </w:r>
          </w:p>
        </w:tc>
        <w:tc>
          <w:tcPr>
            <w:tcW w:type="dxa" w:w="831"/>
          </w:tcPr>
          <w:p>
            <w:pPr>
              <w:pStyle w:val="null3"/>
              <w:jc w:val="right"/>
            </w:pPr>
            <w:r>
              <w:rPr/>
              <w:t>453,400.00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标的名称：西安市长安区太峪河南桥至太乙宫正街桥段山洪沟治理工程 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30" w:firstLine="428"/>
              <w:jc w:val="left"/>
            </w:pPr>
            <w:r>
              <w:rPr>
                <w:rFonts w:ascii="仿宋" w:hAnsi="仿宋" w:cs="仿宋" w:eastAsia="仿宋"/>
                <w:sz w:val="24"/>
              </w:rPr>
              <w:t>符合国家法律法规的规定与相关技术标准。</w:t>
            </w:r>
          </w:p>
        </w:tc>
      </w:tr>
    </w:tbl>
    <w:p>
      <w:pPr>
        <w:pStyle w:val="null3"/>
        <w:outlineLvl w:val="2"/>
      </w:pPr>
      <w:r>
        <w:rPr>
          <w:b/>
          <w:sz w:val="28"/>
        </w:rPr>
        <w:t>3.2.3人员配置要求</w:t>
      </w:r>
    </w:p>
    <w:p>
      <w:pPr>
        <w:pStyle w:val="null3"/>
      </w:pPr>
      <w:r>
        <w:rPr/>
        <w:t>采购包1：</w:t>
      </w:r>
    </w:p>
    <w:p>
      <w:pPr>
        <w:pStyle w:val="null3"/>
      </w:pPr>
      <w:r>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b/>
          <w:sz w:val="28"/>
        </w:rPr>
        <w:t>3.2.4设施设备要求</w:t>
      </w:r>
    </w:p>
    <w:p>
      <w:pPr>
        <w:pStyle w:val="null3"/>
      </w:pPr>
      <w:r>
        <w:rPr/>
        <w:t>采购包1：</w:t>
      </w:r>
    </w:p>
    <w:p>
      <w:pPr>
        <w:pStyle w:val="null3"/>
      </w:pPr>
      <w:r>
        <w:rPr/>
        <w:t>提供具有履行本合同所必需的设备和专业技术能力的说明及承诺书。</w:t>
      </w:r>
    </w:p>
    <w:p>
      <w:pPr>
        <w:pStyle w:val="null3"/>
        <w:outlineLvl w:val="2"/>
      </w:pPr>
      <w:r>
        <w:rPr>
          <w:b/>
          <w:sz w:val="28"/>
        </w:rPr>
        <w:t>3.2.5其他要求</w:t>
      </w:r>
    </w:p>
    <w:p>
      <w:pPr>
        <w:pStyle w:val="null3"/>
      </w:pPr>
      <w:r>
        <w:rPr/>
        <w:t>采购包1：</w:t>
      </w:r>
    </w:p>
    <w:p>
      <w:pPr>
        <w:pStyle w:val="null3"/>
      </w:pPr>
      <w:r>
        <w:rPr/>
        <w:t>1、成果交付要求 ①勘察报告，包含工程地质岩土勘察,施工范围内的物探、管探、初勘、详勘、方格网图测绘等； ②初步设计文件，包含初步设计文件相关的所有资料； ③施工图设计文件，包含施工图设计文件相关的所有资料； ④份数：勘察设计人应向发包人分别提供纸质版勘察报告、初步设计文件（含平面图及设计概算）各 10 套，施工图设计文件8 套，并按发包人要求格式提供电子版光盘及U盘各2套。 2.执行的主要技术标准规范 ①　《水利工程建设标准强制性条文》（2020 年版）； ②　《防洪标准》（GB50201-2014）； ③　《水利水电工程等级划分及洪水标准》（SL252-2017）； ④　《水利水电工程初步设计报告编制规程》（SL619-2021）； ⑤　《水利水电工程合理使用年限及耐久性设计规范》（SL654-2014）； ⑥　《水工建筑物抗冰冻设计规范》（SL211-2006）； ⑦　《堤防工程地质勘察规范》SL188—2005； ⑧　《中小型水利水电工程地质勘察规范》（SL55－2005）； ⑨　《水利水电工程天然建材勘察规程》（SL251－2015）； ⑩　《水利水电工程设计洪水计算规范》（SL44-2006）； ⑪　《山洪沟防洪治理工程技术规范》（SL/T778-2019）； ⑫　《水工挡土墙设计规范》（SL379-2007）； ⑬　《水工混凝土结构设计规范》（SL191-2008）； ⑭　《水工建筑物荷载设计规范》（SL744-2016）； ⑮　《水工建筑物抗震设计标准》（GB51247-2018）； ⑯　《水利水电工程水文计算规范》（SL/T278-2020）； ⑰　《疏浚与吹填工程技术规范》（SL17-2014）； ⑱　《水利水电工程施工组织设计规范》（SL303-2017）； ⑲　其他有关规程、规范及技术标准。</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合同签订之日起30日历天内</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1、质量验收标准： 各项具体工作的质量标准和作业规范，符合国家法律法规的规定与相关技术标准。 2、验收依据： 2.1磋商文件、响应文件、澄清表（函）； 2.2本合同及附件文本； 2.3国家相应的标准、规范。 3、质量验收标准 乙方完成全部工作并提交成果报告后成交供应商提交验收申请，由采购人组织验收。 4、双方拟定的其他条款。</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初步设计文件审定后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提交施工图设计文件后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工程竣工验收后</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1、甲方违约责任 1）未按协议约定提供有关资料、数据和工作条件，导致乙方无法按协议约定完成工作任务，甲方承担逾期责任。 2）未按约定支付费用，每逾期一日，按未付经费的百分之一向乙方支付违约金。 3）承担因提供资料有误造成乙方返工或服务期延迟所增费用。 4）擅自终止协议，已支付工作经费不得要求返还，并向乙方支付相当于工作费用总额百分之五的违约金。 2、乙方违约责任 1）逾期未交付工作成果，每逾期一日，按已付工作经费的百分之一向甲方支付违约金，同时乙方应继续履行义务。逾期超过30日未交付工作成果，甲方有权解除协议，并要求返还支付的工作费用及相当于已支付费用百分之五的违约金。 2）擅自终止协议，应退还甲方已支付的工作费用，并向甲方支付相当于工作费用总额百分之五的违约金。 3.本建设工程设计合同发生争议，发包人与设计人应及时协商解决。也可由当地建设行政主管部门调解，调解不成时，双方当事人同意由项目所在地仲裁委员会仲裁。</w:t>
      </w:r>
    </w:p>
    <w:p>
      <w:pPr>
        <w:pStyle w:val="null3"/>
        <w:outlineLvl w:val="2"/>
      </w:pPr>
      <w:r>
        <w:rPr>
          <w:b/>
          <w:sz w:val="28"/>
        </w:rPr>
        <w:t>3.4其他要求</w:t>
      </w:r>
    </w:p>
    <w:p>
      <w:pPr>
        <w:pStyle w:val="null3"/>
      </w:pPr>
      <w:r>
        <w:rPr/>
        <w:t>1、磋商报价是供应商应在磋商报价表中标明完成本项目所要求内容且验收合格的所有费用,包括但不限于人工费、税金、采购代理服务费等其他一切相关费用。任何有选择的报价将不予接受，否则按无效磋商处理。 2、本项目所属行业为：其他未列明行业。从业人员300人以下的为中小微型企业。其中，从业人员100人及以上的为中型企业；从业人员10人及以上的为小型企业；从业人员10人以下的为微型企业。</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等主体资格证明文件：供应商为具有独立承担民事责任能力的法人或其他组织或自然人，并提供法人或者其他组织合法有效的营业执照等证明文件，事业单位应提供事业单位法人证书，自然人应提供身份证明文件； 2、税收缴纳证明：提供磋商截止时间前6个月内至少一个月的依法缴纳税收的相关凭据（时间以税款所属日期为准)，依法免税或无须缴纳税收的供应商应提供相关证明材料； 3、社会保障资金缴纳证明：提供磋商截止时间前6个月内至少一个月的社会保障资金的相关材料，依法不需要缴纳社会保障金的供应商，需具有社保部门出具的证明文件； 4、承诺：提供具有履行合同所必需的设备和专业技术能力的承诺； 5、书面声明：参加政府采购活动前3年内，在经营活动中没有重大违法记录的书面声明。</w:t>
            </w:r>
          </w:p>
        </w:tc>
        <w:tc>
          <w:tcPr>
            <w:tcW w:type="dxa" w:w="1661"/>
          </w:tcPr>
          <w:p>
            <w:pPr>
              <w:pStyle w:val="null3"/>
            </w:pPr>
            <w:r>
              <w:rPr/>
              <w:t>磋商响应函 供应商应提交的相关资格证明材料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磋商响应函 供应商应提交的相关资格证明材料</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具备建设行政主管部门颁发的工程勘察（岩土工程）专业乙级（含乙级）以上资质和水利行业工程设计乙级（含乙级）以上资质；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项目负责人</w:t>
            </w:r>
          </w:p>
        </w:tc>
        <w:tc>
          <w:tcPr>
            <w:tcW w:type="dxa" w:w="3322"/>
          </w:tcPr>
          <w:p>
            <w:pPr>
              <w:pStyle w:val="null3"/>
            </w:pPr>
            <w:r>
              <w:rPr/>
              <w:t>具有注册土木工程师（岩土）注册执业证书及注册土木工程师（水利水电工程）资格证书或水利相关专业中级及以上职称证书；</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控股管理关系</w:t>
            </w:r>
          </w:p>
        </w:tc>
        <w:tc>
          <w:tcPr>
            <w:tcW w:type="dxa" w:w="3322"/>
          </w:tcPr>
          <w:p>
            <w:pPr>
              <w:pStyle w:val="null3"/>
            </w:pPr>
            <w:r>
              <w:rPr/>
              <w:t>单位负责人为同一人或者存在直接控股、管理关系的供应商，不得参加同一合同下的政府采购活动；</w:t>
            </w:r>
          </w:p>
        </w:tc>
        <w:tc>
          <w:tcPr>
            <w:tcW w:type="dxa" w:w="1661"/>
          </w:tcPr>
          <w:p>
            <w:pPr>
              <w:pStyle w:val="null3"/>
            </w:pPr>
            <w:r>
              <w:rPr/>
              <w:t>磋商响应函 供应商应提交的相关资格证明材料</w:t>
            </w:r>
          </w:p>
        </w:tc>
      </w:tr>
      <w:tr>
        <w:tc>
          <w:tcPr>
            <w:tcW w:type="dxa" w:w="831"/>
          </w:tcPr>
          <w:p>
            <w:pPr>
              <w:pStyle w:val="null3"/>
            </w:pPr>
            <w:r>
              <w:rPr/>
              <w:t>6</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磋商响应函 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磋商报价表 磋商一览表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服务内容及服务邀请应答表 磋商响应函 中小企业声明函 业绩 供应商应提交的相关资格证明材料 磋商报价表 商务条款偏离表 磋商一览表 响应文件封面 服务方案说明书 残疾人福利性单位声明函 陕西省政府采购供应商拒绝政府采购领域商业贿赂承诺书 监狱企业的证明文件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服务内容及服务邀请应答表 服务方案说明书 磋商响应函 中小企业声明函 残疾人福利性单位声明函 其它说明 供应商应提交的相关资格证明材料 磋商报价表 商务条款偏离表 监狱企业的证明文件 磋商一览表</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磋商报价表 磋商一览表</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响应文件封面 服务内容及服务邀请应答表 服务方案说明书 磋商响应函 中小企业声明函 残疾人福利性单位声明函 供应商应提交的相关资格证明材料 陕西省政府采购供应商拒绝政府采购领域商业贿赂承诺书 磋商报价表 商务条款偏离表 监狱企业的证明文件 磋商一览表</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服务内容及服务邀请应答表 服务方案说明书 磋商响应函 中小企业声明函 残疾人福利性单位声明函 供应商应提交的相关资格证明材料 陕西省政府采购供应商拒绝政府采购领域商业贿赂承诺书 磋商报价表 商务条款偏离表 监狱企业的证明文件 磋商一览表</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磋商响应函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提供完善的、合理的、全面的勘察、设计服务方案，符合勘察、设计原则及标准，方案明确、细节考虑到位，计10～15分；方案、细节基本明确，描述良好的计5～10分（不含10分）；描述符合要求，内容一般的计0～5分（不含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服务方案说明书</w:t>
            </w:r>
          </w:p>
        </w:tc>
      </w:tr>
      <w:tr>
        <w:tc>
          <w:tcPr>
            <w:tcW w:type="dxa" w:w="831"/>
            <w:vMerge/>
          </w:tcPr>
          <w:p/>
        </w:tc>
        <w:tc>
          <w:tcPr>
            <w:tcW w:type="dxa" w:w="1661"/>
          </w:tcPr>
          <w:p>
            <w:pPr>
              <w:pStyle w:val="null3"/>
            </w:pPr>
            <w:r>
              <w:rPr/>
              <w:t>项目团队配备</w:t>
            </w:r>
          </w:p>
        </w:tc>
        <w:tc>
          <w:tcPr>
            <w:tcW w:type="dxa" w:w="2492"/>
          </w:tcPr>
          <w:p>
            <w:pPr>
              <w:pStyle w:val="null3"/>
            </w:pPr>
            <w:r>
              <w:rPr/>
              <w:t>根据项目需求派驻实施团队，人员数量、专业结构合理，规模与项目需求相匹配，技术能力强，经验丰富得8～11分；团队配置人员技术能力、经验一般得4～8分（不含8分）；团队配置人员技术能力、经验较差得0～4分（不含4分）。</w:t>
            </w:r>
          </w:p>
        </w:tc>
        <w:tc>
          <w:tcPr>
            <w:tcW w:type="dxa" w:w="831"/>
          </w:tcPr>
          <w:p>
            <w:pPr>
              <w:pStyle w:val="null3"/>
              <w:jc w:val="right"/>
            </w:pPr>
            <w:r>
              <w:rPr/>
              <w:t>11.00</w:t>
            </w:r>
          </w:p>
        </w:tc>
        <w:tc>
          <w:tcPr>
            <w:tcW w:type="dxa" w:w="831"/>
          </w:tcPr>
          <w:p>
            <w:pPr>
              <w:pStyle w:val="null3"/>
            </w:pPr>
            <w:r>
              <w:rPr/>
              <w:t>主观</w:t>
            </w:r>
          </w:p>
        </w:tc>
        <w:tc>
          <w:tcPr>
            <w:tcW w:type="dxa" w:w="1661"/>
          </w:tcPr>
          <w:p>
            <w:pPr>
              <w:pStyle w:val="null3"/>
            </w:pPr>
            <w:r>
              <w:rPr/>
              <w:t>服务方案说明书</w:t>
            </w:r>
          </w:p>
        </w:tc>
      </w:tr>
      <w:tr>
        <w:tc>
          <w:tcPr>
            <w:tcW w:type="dxa" w:w="831"/>
            <w:vMerge/>
          </w:tcPr>
          <w:p/>
        </w:tc>
        <w:tc>
          <w:tcPr>
            <w:tcW w:type="dxa" w:w="1661"/>
          </w:tcPr>
          <w:p>
            <w:pPr>
              <w:pStyle w:val="null3"/>
            </w:pPr>
            <w:r>
              <w:rPr/>
              <w:t>重难点分析</w:t>
            </w:r>
          </w:p>
        </w:tc>
        <w:tc>
          <w:tcPr>
            <w:tcW w:type="dxa" w:w="2492"/>
          </w:tcPr>
          <w:p>
            <w:pPr>
              <w:pStyle w:val="null3"/>
            </w:pPr>
            <w:r>
              <w:rPr/>
              <w:t>有针对本项目重难点的分析、应对措施等根据响应程度横向比较：根据措施描述完整、可操作性强、细节描述详细优越的计10～12分，有相对的操作性描述良好计5～10分（不含10分）；相对比内容一般的计0～5分（不含5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服务方案说明书</w:t>
            </w:r>
          </w:p>
        </w:tc>
      </w:tr>
      <w:tr>
        <w:tc>
          <w:tcPr>
            <w:tcW w:type="dxa" w:w="831"/>
            <w:vMerge/>
          </w:tcPr>
          <w:p/>
        </w:tc>
        <w:tc>
          <w:tcPr>
            <w:tcW w:type="dxa" w:w="1661"/>
          </w:tcPr>
          <w:p>
            <w:pPr>
              <w:pStyle w:val="null3"/>
            </w:pPr>
            <w:r>
              <w:rPr/>
              <w:t>进度保证措施</w:t>
            </w:r>
          </w:p>
        </w:tc>
        <w:tc>
          <w:tcPr>
            <w:tcW w:type="dxa" w:w="2492"/>
          </w:tcPr>
          <w:p>
            <w:pPr>
              <w:pStyle w:val="null3"/>
            </w:pPr>
            <w:r>
              <w:rPr/>
              <w:t>确保项目实施进度计划的组织措施，根据响应程度横向比较：根据措施描述完整、可操作性强、细节描述详细优越的计7～10分，有相对的操作性描述良好计3～7分（不含7分）；相对比内容一般的计0～3分（不含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服务方案说明书</w:t>
            </w:r>
          </w:p>
        </w:tc>
      </w:tr>
      <w:tr>
        <w:tc>
          <w:tcPr>
            <w:tcW w:type="dxa" w:w="831"/>
            <w:vMerge/>
          </w:tcPr>
          <w:p/>
        </w:tc>
        <w:tc>
          <w:tcPr>
            <w:tcW w:type="dxa" w:w="1661"/>
          </w:tcPr>
          <w:p>
            <w:pPr>
              <w:pStyle w:val="null3"/>
            </w:pPr>
            <w:r>
              <w:rPr/>
              <w:t>质量保证措施</w:t>
            </w:r>
          </w:p>
        </w:tc>
        <w:tc>
          <w:tcPr>
            <w:tcW w:type="dxa" w:w="2492"/>
          </w:tcPr>
          <w:p>
            <w:pPr>
              <w:pStyle w:val="null3"/>
            </w:pPr>
            <w:r>
              <w:rPr/>
              <w:t>确保本项目质量的技术组织措施，根据响应程度横向比较：根据措施描述完整、可操作性强、细节描述详细优越的计7～10分，有相对的操作性描述良好计3～7分（不含7分）；相对比内容一般的计0～3分（不含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服务方案说明书</w:t>
            </w:r>
          </w:p>
        </w:tc>
      </w:tr>
      <w:tr>
        <w:tc>
          <w:tcPr>
            <w:tcW w:type="dxa" w:w="831"/>
            <w:vMerge/>
          </w:tcPr>
          <w:p/>
        </w:tc>
        <w:tc>
          <w:tcPr>
            <w:tcW w:type="dxa" w:w="1661"/>
          </w:tcPr>
          <w:p>
            <w:pPr>
              <w:pStyle w:val="null3"/>
            </w:pPr>
            <w:r>
              <w:rPr/>
              <w:t>合理化建议</w:t>
            </w:r>
          </w:p>
        </w:tc>
        <w:tc>
          <w:tcPr>
            <w:tcW w:type="dxa" w:w="2492"/>
          </w:tcPr>
          <w:p>
            <w:pPr>
              <w:pStyle w:val="null3"/>
            </w:pPr>
            <w:r>
              <w:rPr/>
              <w:t>有利于本项目工作顺利进行的合理化建议详细合理，针对性强得7～10分；较详细得3～7分（不含7分），相对比内容一般的计0～3分（不含3分）。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服务方案说明书</w:t>
            </w:r>
          </w:p>
        </w:tc>
      </w:tr>
      <w:tr>
        <w:tc>
          <w:tcPr>
            <w:tcW w:type="dxa" w:w="831"/>
            <w:vMerge/>
          </w:tcPr>
          <w:p/>
        </w:tc>
        <w:tc>
          <w:tcPr>
            <w:tcW w:type="dxa" w:w="1661"/>
          </w:tcPr>
          <w:p>
            <w:pPr>
              <w:pStyle w:val="null3"/>
            </w:pPr>
            <w:r>
              <w:rPr/>
              <w:t>服务承诺</w:t>
            </w:r>
          </w:p>
        </w:tc>
        <w:tc>
          <w:tcPr>
            <w:tcW w:type="dxa" w:w="2492"/>
          </w:tcPr>
          <w:p>
            <w:pPr>
              <w:pStyle w:val="null3"/>
            </w:pPr>
            <w:r>
              <w:rPr/>
              <w:t>完全承诺竞争性磋商文件和合同条款的要求，对交付时间内质量、人员到位情况、后期服务的响应时间及配合程度等做出实质性承诺（内容应当包含不能完全履行承诺时愿意接受相关处罚的相关承诺），根据响应程度横向比较(承诺内容可操作性强、细节描述详细、完整优越计10～12分；有相对的操作性、承诺内容良好计5～10分（不含10分）；描述内容一般的计0～5分（不含5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服务方案说明书</w:t>
            </w:r>
          </w:p>
        </w:tc>
      </w:tr>
      <w:tr>
        <w:tc>
          <w:tcPr>
            <w:tcW w:type="dxa" w:w="831"/>
            <w:vMerge/>
          </w:tcPr>
          <w:p/>
        </w:tc>
        <w:tc>
          <w:tcPr>
            <w:tcW w:type="dxa" w:w="1661"/>
          </w:tcPr>
          <w:p>
            <w:pPr>
              <w:pStyle w:val="null3"/>
            </w:pPr>
            <w:r>
              <w:rPr/>
              <w:t>业绩</w:t>
            </w:r>
          </w:p>
        </w:tc>
        <w:tc>
          <w:tcPr>
            <w:tcW w:type="dxa" w:w="2492"/>
          </w:tcPr>
          <w:p>
            <w:pPr>
              <w:pStyle w:val="null3"/>
            </w:pPr>
            <w:r>
              <w:rPr/>
              <w:t>具有2021年1月1日至今类似业绩，每提供1份有效业绩（同时具备勘察业绩和设计）业绩计2分，本项最多得10分。未提供不得分。 注：以合同或协议书为有效证明材料，复印件加盖公章装订在响应文件中，否则不做为评审依据。</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1.满足磋商文件实质性要求且最终报价最低的供应商的价格为磋商基准价，其价格分10分。 2.磋商报价得分=（磋商基准价/最终磋商报价）×10的公式计算得分。 3.磋商报价不完整的，不进入磋商基准价的计算，本项得0分。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磋商报价表</w:t>
            </w:r>
          </w:p>
          <w:p>
            <w:pPr>
              <w:pStyle w:val="null3"/>
            </w:pPr>
            <w:r>
              <w:rPr/>
              <w:t>磋商一览表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详见附件：磋商响应函</w:t>
      </w:r>
    </w:p>
    <w:p>
      <w:pPr>
        <w:pStyle w:val="null3"/>
        <w:ind w:firstLine="960"/>
      </w:pPr>
      <w:r>
        <w:rPr/>
        <w:t>详见附件：磋商报价表</w:t>
      </w:r>
    </w:p>
    <w:p>
      <w:pPr>
        <w:pStyle w:val="null3"/>
        <w:ind w:firstLine="960"/>
      </w:pPr>
      <w:r>
        <w:rPr/>
        <w:t>详见附件：磋商一览表</w:t>
      </w:r>
    </w:p>
    <w:p>
      <w:pPr>
        <w:pStyle w:val="null3"/>
        <w:ind w:firstLine="960"/>
      </w:pPr>
      <w:r>
        <w:rPr/>
        <w:t>详见附件：服务方案说明书</w:t>
      </w:r>
    </w:p>
    <w:p>
      <w:pPr>
        <w:pStyle w:val="null3"/>
        <w:ind w:firstLine="960"/>
      </w:pPr>
      <w:r>
        <w:rPr/>
        <w:t>详见附件：商务条款偏离表</w:t>
      </w:r>
    </w:p>
    <w:p>
      <w:pPr>
        <w:pStyle w:val="null3"/>
        <w:ind w:firstLine="960"/>
      </w:pPr>
      <w:r>
        <w:rPr/>
        <w:t>详见附件：服务内容及服务邀请应答表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详见附件：业绩</w:t>
      </w:r>
    </w:p>
    <w:p>
      <w:pPr>
        <w:pStyle w:val="null3"/>
        <w:ind w:firstLine="960"/>
      </w:pPr>
      <w:r>
        <w:rPr/>
        <w:t>详见附件：陕西省政府采购供应商拒绝政府采购领域商业贿赂承诺书</w:t>
      </w:r>
    </w:p>
    <w:p>
      <w:pPr>
        <w:pStyle w:val="null3"/>
        <w:ind w:firstLine="960"/>
      </w:pPr>
      <w:r>
        <w:rPr/>
        <w:t>详见附件：其它说明</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详见附件：建设工程设计合同示范文本-太峪河.docx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