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 w:hAnsi="仿宋" w:eastAsia="仿宋" w:cs="仿宋"/>
        </w:rPr>
      </w:pPr>
      <w:bookmarkStart w:id="0" w:name="_Toc102769683"/>
      <w:bookmarkStart w:id="1" w:name="_Toc85019468"/>
      <w:bookmarkStart w:id="2" w:name="_Toc27391"/>
      <w:r>
        <w:rPr>
          <w:rFonts w:hint="eastAsia" w:ascii="仿宋" w:hAnsi="仿宋" w:eastAsia="仿宋" w:cs="仿宋"/>
          <w:bCs/>
          <w:iCs/>
          <w:szCs w:val="22"/>
        </w:rPr>
        <w:t>附件</w:t>
      </w:r>
      <w:r>
        <w:rPr>
          <w:rFonts w:hint="eastAsia" w:ascii="仿宋" w:hAnsi="仿宋" w:eastAsia="仿宋" w:cs="仿宋"/>
          <w:bCs/>
          <w:iCs/>
          <w:szCs w:val="22"/>
        </w:rPr>
        <w:t xml:space="preserve">  </w:t>
      </w:r>
      <w:r>
        <w:rPr>
          <w:rFonts w:hint="eastAsia" w:ascii="仿宋" w:hAnsi="仿宋" w:eastAsia="仿宋" w:cs="仿宋"/>
          <w:bCs/>
          <w:iCs/>
          <w:szCs w:val="22"/>
        </w:rPr>
        <w:t>供应商资格证明文件</w:t>
      </w:r>
      <w:bookmarkEnd w:id="0"/>
      <w:bookmarkEnd w:id="1"/>
      <w:bookmarkEnd w:id="2"/>
    </w:p>
    <w:p>
      <w:pPr>
        <w:spacing w:line="360" w:lineRule="auto"/>
        <w:rPr>
          <w:rFonts w:hint="eastAsia" w:ascii="仿宋" w:hAnsi="仿宋" w:eastAsia="仿宋" w:cs="仿宋"/>
          <w:sz w:val="24"/>
          <w:szCs w:val="24"/>
        </w:rPr>
      </w:pPr>
      <w:bookmarkStart w:id="3" w:name="_Toc497551834"/>
      <w:bookmarkStart w:id="4" w:name="_Toc497711599"/>
      <w:bookmarkStart w:id="5" w:name="_Toc497712147"/>
      <w:bookmarkStart w:id="6" w:name="_Toc233435994"/>
      <w:bookmarkStart w:id="7" w:name="_Toc497546932"/>
      <w:bookmarkStart w:id="8" w:name="_Toc492955473"/>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1、具有独立承担民事责任的能力（提供统一社会信用代码的营业执照（或事业法人证）等证明文件，投标单位为自然人的提供身份证）；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具有良好的商业信誉和健全的财务会计制度（2022年度或2023年度经第三方审计的财务报告（成立时间至提交响应文件截止时间不足一年的可提供成立后任意时段的资产负债表）；或其响应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3、具有履行合同所必需的设备和专业技术能力的说明及承诺；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4、具有依法缴纳税收和社会保障资金的良好记录（提供截止至投标文件递交时间前12个月内任一月份的缴费凭据或提供相关主管部门出具的缴纳证明）。依法免缴的申请人须提供相应文件证明其依法免缴； </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5、参加政府采购活动前3年内在经营活动中没有重大违法记录的书面声明。</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bCs/>
          <w:iCs/>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eastAsia="仿宋" w:cs="仿宋"/>
          <w:bCs/>
          <w:iCs/>
          <w:sz w:val="24"/>
          <w:szCs w:val="24"/>
          <w:lang w:eastAsia="zh-CN"/>
        </w:rPr>
        <w:t>；</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2、供应商须具备地质灾害评估和治理工程勘查设计资质甲级；</w:t>
      </w:r>
    </w:p>
    <w:p>
      <w:pPr>
        <w:spacing w:line="360" w:lineRule="auto"/>
        <w:rPr>
          <w:rFonts w:hint="eastAsia" w:ascii="仿宋" w:hAnsi="仿宋" w:eastAsia="仿宋" w:cs="仿宋"/>
          <w:bCs/>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、本项目不接受联合体投标，不得分包、转包。</w:t>
      </w:r>
    </w:p>
    <w:p>
      <w:pPr>
        <w:widowControl/>
        <w:jc w:val="left"/>
        <w:rPr>
          <w:rFonts w:hint="eastAsia" w:ascii="仿宋" w:hAnsi="仿宋" w:eastAsia="仿宋" w:cs="仿宋"/>
          <w:kern w:val="1"/>
          <w:sz w:val="24"/>
        </w:rPr>
      </w:pPr>
      <w:bookmarkStart w:id="9" w:name="_Toc85019469"/>
      <w:r>
        <w:rPr>
          <w:rFonts w:hint="eastAsia" w:ascii="仿宋" w:hAnsi="仿宋" w:eastAsia="仿宋" w:cs="仿宋"/>
          <w:kern w:val="1"/>
        </w:rPr>
        <w:br w:type="page"/>
      </w:r>
    </w:p>
    <w:bookmarkEnd w:id="9"/>
    <w:p>
      <w:pPr>
        <w:pStyle w:val="4"/>
        <w:spacing w:line="240" w:lineRule="auto"/>
        <w:rPr>
          <w:rFonts w:hint="eastAsia" w:ascii="仿宋" w:hAnsi="仿宋" w:eastAsia="仿宋" w:cs="仿宋"/>
          <w:bCs/>
          <w:iCs/>
          <w:sz w:val="24"/>
          <w:szCs w:val="24"/>
        </w:rPr>
      </w:pPr>
      <w:bookmarkStart w:id="10" w:name="_Toc27116"/>
      <w:bookmarkStart w:id="11" w:name="_Toc105617039"/>
      <w:r>
        <w:rPr>
          <w:rFonts w:hint="eastAsia" w:ascii="仿宋" w:hAnsi="仿宋" w:eastAsia="仿宋" w:cs="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hint="eastAsia" w:ascii="仿宋" w:hAnsi="仿宋" w:eastAsia="仿宋" w:cs="仿宋"/>
          <w:bCs/>
          <w:iCs/>
          <w:sz w:val="24"/>
          <w:szCs w:val="24"/>
        </w:rPr>
      </w:pPr>
      <w:r>
        <w:rPr>
          <w:rFonts w:hint="eastAsia" w:ascii="仿宋" w:hAnsi="仿宋" w:eastAsia="仿宋" w:cs="仿宋"/>
          <w:b/>
          <w:bCs/>
          <w:iCs/>
          <w:sz w:val="24"/>
          <w:szCs w:val="24"/>
        </w:rPr>
        <w:br w:type="page"/>
      </w:r>
    </w:p>
    <w:p>
      <w:pPr>
        <w:bidi w:val="0"/>
        <w:rPr>
          <w:rFonts w:hint="eastAsia" w:ascii="仿宋" w:hAnsi="仿宋" w:eastAsia="仿宋" w:cs="仿宋"/>
          <w:bCs/>
          <w:iCs/>
          <w:szCs w:val="24"/>
        </w:rPr>
      </w:pPr>
      <w:bookmarkStart w:id="12" w:name="_Toc102769686"/>
      <w:bookmarkStart w:id="13" w:name="_Toc85019471"/>
      <w:bookmarkStart w:id="14" w:name="_Toc428"/>
      <w:r>
        <w:rPr>
          <w:rFonts w:hint="eastAsia" w:ascii="仿宋" w:hAnsi="仿宋" w:eastAsia="仿宋" w:cs="仿宋"/>
          <w:b/>
          <w:bCs w:val="0"/>
          <w:iCs/>
          <w:sz w:val="24"/>
          <w:szCs w:val="24"/>
        </w:rPr>
        <w:t>具有良好的商业信誉和健全的财务会计制度（2022年度或2023年度经第三方审计的财务报告（成立时间至提交响应文件截止时间不足一年的可提供成立后任意时段的资产负债表）；或其响应文件递交截止时间前十二个月内基本存款账户开户银行出具的资信证明及开户银行许可证（</w:t>
      </w:r>
      <w:bookmarkStart w:id="27" w:name="_GoBack"/>
      <w:bookmarkEnd w:id="27"/>
      <w:r>
        <w:rPr>
          <w:rFonts w:hint="eastAsia" w:ascii="仿宋" w:hAnsi="仿宋" w:eastAsia="仿宋" w:cs="仿宋"/>
          <w:b/>
          <w:bCs w:val="0"/>
          <w:iCs/>
          <w:sz w:val="24"/>
          <w:szCs w:val="24"/>
        </w:rPr>
        <w:t>或开户行出具的基本户证明材料）；或信用担保机构出具的投标担保函（复印件或扫描件加盖申请人公章）。（以上三种形式提供任何一种即可）</w:t>
      </w:r>
      <w:r>
        <w:rPr>
          <w:rFonts w:hint="eastAsia" w:ascii="仿宋" w:hAnsi="仿宋" w:eastAsia="仿宋" w:cs="仿宋"/>
          <w:b/>
          <w:bCs w:val="0"/>
          <w:iCs/>
          <w:sz w:val="24"/>
          <w:szCs w:val="24"/>
          <w:lang w:eastAsia="zh-CN"/>
        </w:rPr>
        <w:t>）</w:t>
      </w:r>
      <w:r>
        <w:rPr>
          <w:rFonts w:hint="eastAsia" w:ascii="仿宋" w:hAnsi="仿宋" w:eastAsia="仿宋" w:cs="仿宋"/>
        </w:rPr>
        <w:br w:type="page"/>
      </w:r>
    </w:p>
    <w:p>
      <w:pPr>
        <w:pStyle w:val="4"/>
        <w:spacing w:line="240" w:lineRule="auto"/>
        <w:rPr>
          <w:rFonts w:hint="eastAsia" w:ascii="仿宋" w:hAnsi="仿宋" w:eastAsia="仿宋" w:cs="仿宋"/>
          <w:b/>
          <w:bCs w:val="0"/>
          <w:iCs/>
          <w:sz w:val="24"/>
          <w:szCs w:val="24"/>
        </w:rPr>
      </w:pPr>
      <w:bookmarkStart w:id="15" w:name="_Toc105617042"/>
      <w:bookmarkStart w:id="16" w:name="_Toc14970"/>
      <w:r>
        <w:rPr>
          <w:rFonts w:hint="eastAsia" w:ascii="仿宋" w:hAnsi="仿宋" w:eastAsia="仿宋" w:cs="仿宋"/>
          <w:b/>
          <w:bCs w:val="0"/>
          <w:iCs/>
          <w:sz w:val="24"/>
          <w:szCs w:val="24"/>
        </w:rPr>
        <w:t>具有履行合同所必需的设备和专业技术能力</w:t>
      </w:r>
      <w:bookmarkEnd w:id="15"/>
      <w:bookmarkEnd w:id="16"/>
    </w:p>
    <w:p>
      <w:pPr>
        <w:spacing w:before="240" w:beforeLines="100" w:after="120"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hint="eastAsia" w:ascii="仿宋" w:hAnsi="仿宋" w:eastAsia="仿宋" w:cs="仿宋"/>
                <w:sz w:val="24"/>
              </w:rPr>
            </w:pPr>
          </w:p>
        </w:tc>
        <w:tc>
          <w:tcPr>
            <w:tcW w:w="2268" w:type="dxa"/>
            <w:vAlign w:val="center"/>
          </w:tcPr>
          <w:p>
            <w:pPr>
              <w:spacing w:line="360" w:lineRule="auto"/>
              <w:jc w:val="center"/>
              <w:rPr>
                <w:rFonts w:hint="eastAsia" w:ascii="仿宋" w:hAnsi="仿宋" w:eastAsia="仿宋" w:cs="仿宋"/>
                <w:sz w:val="24"/>
              </w:rPr>
            </w:pPr>
          </w:p>
        </w:tc>
        <w:tc>
          <w:tcPr>
            <w:tcW w:w="851" w:type="dxa"/>
            <w:vAlign w:val="center"/>
          </w:tcPr>
          <w:p>
            <w:pPr>
              <w:spacing w:line="360" w:lineRule="auto"/>
              <w:jc w:val="center"/>
              <w:rPr>
                <w:rFonts w:hint="eastAsia" w:ascii="仿宋" w:hAnsi="仿宋" w:eastAsia="仿宋" w:cs="仿宋"/>
                <w:sz w:val="24"/>
              </w:rPr>
            </w:pPr>
          </w:p>
        </w:tc>
        <w:tc>
          <w:tcPr>
            <w:tcW w:w="2126" w:type="dxa"/>
            <w:vAlign w:val="center"/>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hint="eastAsia" w:ascii="仿宋" w:hAnsi="仿宋" w:eastAsia="仿宋" w:cs="仿宋"/>
                <w:sz w:val="24"/>
              </w:rPr>
            </w:pPr>
          </w:p>
        </w:tc>
        <w:tc>
          <w:tcPr>
            <w:tcW w:w="2268" w:type="dxa"/>
            <w:vAlign w:val="center"/>
          </w:tcPr>
          <w:p>
            <w:pPr>
              <w:spacing w:line="360" w:lineRule="auto"/>
              <w:jc w:val="center"/>
              <w:rPr>
                <w:rFonts w:hint="eastAsia" w:ascii="仿宋" w:hAnsi="仿宋" w:eastAsia="仿宋" w:cs="仿宋"/>
                <w:sz w:val="24"/>
              </w:rPr>
            </w:pPr>
          </w:p>
        </w:tc>
        <w:tc>
          <w:tcPr>
            <w:tcW w:w="851" w:type="dxa"/>
            <w:vAlign w:val="center"/>
          </w:tcPr>
          <w:p>
            <w:pPr>
              <w:spacing w:line="360" w:lineRule="auto"/>
              <w:jc w:val="center"/>
              <w:rPr>
                <w:rFonts w:hint="eastAsia" w:ascii="仿宋" w:hAnsi="仿宋" w:eastAsia="仿宋" w:cs="仿宋"/>
                <w:sz w:val="24"/>
              </w:rPr>
            </w:pPr>
          </w:p>
        </w:tc>
        <w:tc>
          <w:tcPr>
            <w:tcW w:w="2126" w:type="dxa"/>
            <w:vAlign w:val="center"/>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hint="eastAsia" w:ascii="仿宋" w:hAnsi="仿宋" w:eastAsia="仿宋" w:cs="仿宋"/>
                <w:sz w:val="24"/>
              </w:rPr>
            </w:pPr>
          </w:p>
        </w:tc>
        <w:tc>
          <w:tcPr>
            <w:tcW w:w="2268" w:type="dxa"/>
            <w:vAlign w:val="center"/>
          </w:tcPr>
          <w:p>
            <w:pPr>
              <w:spacing w:line="360" w:lineRule="auto"/>
              <w:jc w:val="center"/>
              <w:rPr>
                <w:rFonts w:hint="eastAsia" w:ascii="仿宋" w:hAnsi="仿宋" w:eastAsia="仿宋" w:cs="仿宋"/>
                <w:sz w:val="24"/>
              </w:rPr>
            </w:pPr>
          </w:p>
        </w:tc>
        <w:tc>
          <w:tcPr>
            <w:tcW w:w="851" w:type="dxa"/>
            <w:vAlign w:val="center"/>
          </w:tcPr>
          <w:p>
            <w:pPr>
              <w:spacing w:line="360" w:lineRule="auto"/>
              <w:jc w:val="center"/>
              <w:rPr>
                <w:rFonts w:hint="eastAsia" w:ascii="仿宋" w:hAnsi="仿宋" w:eastAsia="仿宋" w:cs="仿宋"/>
                <w:sz w:val="24"/>
              </w:rPr>
            </w:pPr>
          </w:p>
        </w:tc>
        <w:tc>
          <w:tcPr>
            <w:tcW w:w="2126" w:type="dxa"/>
            <w:vAlign w:val="center"/>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hint="eastAsia" w:ascii="仿宋" w:hAnsi="仿宋" w:eastAsia="仿宋" w:cs="仿宋"/>
                <w:sz w:val="24"/>
              </w:rPr>
            </w:pPr>
          </w:p>
        </w:tc>
        <w:tc>
          <w:tcPr>
            <w:tcW w:w="2268" w:type="dxa"/>
            <w:vAlign w:val="center"/>
          </w:tcPr>
          <w:p>
            <w:pPr>
              <w:spacing w:line="360" w:lineRule="auto"/>
              <w:jc w:val="center"/>
              <w:rPr>
                <w:rFonts w:hint="eastAsia" w:ascii="仿宋" w:hAnsi="仿宋" w:eastAsia="仿宋" w:cs="仿宋"/>
                <w:sz w:val="24"/>
              </w:rPr>
            </w:pPr>
          </w:p>
        </w:tc>
        <w:tc>
          <w:tcPr>
            <w:tcW w:w="851" w:type="dxa"/>
            <w:vAlign w:val="center"/>
          </w:tcPr>
          <w:p>
            <w:pPr>
              <w:spacing w:line="360" w:lineRule="auto"/>
              <w:jc w:val="center"/>
              <w:rPr>
                <w:rFonts w:hint="eastAsia" w:ascii="仿宋" w:hAnsi="仿宋" w:eastAsia="仿宋" w:cs="仿宋"/>
                <w:sz w:val="24"/>
              </w:rPr>
            </w:pPr>
          </w:p>
        </w:tc>
        <w:tc>
          <w:tcPr>
            <w:tcW w:w="2126" w:type="dxa"/>
            <w:vAlign w:val="center"/>
          </w:tcPr>
          <w:p>
            <w:pPr>
              <w:spacing w:line="360" w:lineRule="auto"/>
              <w:jc w:val="center"/>
              <w:rPr>
                <w:rFonts w:hint="eastAsia" w:ascii="仿宋" w:hAnsi="仿宋" w:eastAsia="仿宋" w:cs="仿宋"/>
                <w:sz w:val="24"/>
              </w:rPr>
            </w:pPr>
          </w:p>
        </w:tc>
      </w:tr>
    </w:tbl>
    <w:p>
      <w:pPr>
        <w:spacing w:before="240" w:beforeLines="100" w:after="120" w:afterLines="50" w:line="360" w:lineRule="auto"/>
        <w:ind w:firstLine="496" w:firstLineChars="200"/>
        <w:rPr>
          <w:rFonts w:hint="eastAsia" w:ascii="仿宋" w:hAnsi="仿宋" w:eastAsia="仿宋" w:cs="仿宋"/>
          <w:spacing w:val="4"/>
          <w:sz w:val="24"/>
        </w:rPr>
      </w:pPr>
    </w:p>
    <w:p>
      <w:pPr>
        <w:pStyle w:val="2"/>
        <w:rPr>
          <w:rFonts w:hint="eastAsia" w:ascii="仿宋" w:hAnsi="仿宋" w:eastAsia="仿宋" w:cs="仿宋"/>
          <w:spacing w:val="4"/>
          <w:sz w:val="24"/>
        </w:rPr>
      </w:pPr>
    </w:p>
    <w:p>
      <w:pPr>
        <w:rPr>
          <w:rFonts w:hint="eastAsia" w:ascii="仿宋" w:hAnsi="仿宋" w:eastAsia="仿宋" w:cs="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rPr>
          <w:trHeight w:val="680" w:hRule="atLeast"/>
        </w:trPr>
        <w:tc>
          <w:tcPr>
            <w:tcW w:w="2410" w:type="dxa"/>
            <w:vAlign w:val="bottom"/>
          </w:tcPr>
          <w:p>
            <w:pPr>
              <w:pStyle w:val="2"/>
              <w:jc w:val="distribute"/>
              <w:rPr>
                <w:rFonts w:hint="eastAsia" w:ascii="仿宋" w:hAnsi="仿宋" w:eastAsia="仿宋" w:cs="仿宋"/>
                <w:sz w:val="24"/>
                <w:szCs w:val="24"/>
              </w:rPr>
            </w:pPr>
            <w:r>
              <w:rPr>
                <w:rFonts w:hint="eastAsia" w:ascii="仿宋" w:hAnsi="仿宋" w:eastAsia="仿宋" w:cs="仿宋"/>
                <w:sz w:val="24"/>
              </w:rPr>
              <w:t>供应商名称</w:t>
            </w:r>
          </w:p>
        </w:tc>
        <w:tc>
          <w:tcPr>
            <w:tcW w:w="287" w:type="dxa"/>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u w:val="single"/>
              </w:rPr>
              <w:t>（公章）</w:t>
            </w: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hint="eastAsia" w:ascii="仿宋" w:hAnsi="仿宋" w:eastAsia="仿宋" w:cs="仿宋"/>
                <w:sz w:val="24"/>
                <w:szCs w:val="24"/>
              </w:rPr>
            </w:pPr>
            <w:r>
              <w:rPr>
                <w:rFonts w:hint="eastAsia" w:ascii="仿宋" w:hAnsi="仿宋" w:eastAsia="仿宋" w:cs="仿宋"/>
                <w:sz w:val="24"/>
              </w:rPr>
              <w:t>法定代表人或被授权代表（签字或盖章）</w:t>
            </w:r>
          </w:p>
        </w:tc>
        <w:tc>
          <w:tcPr>
            <w:tcW w:w="287" w:type="dxa"/>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rPr>
          <w:trHeight w:val="680" w:hRule="atLeast"/>
        </w:trPr>
        <w:tc>
          <w:tcPr>
            <w:tcW w:w="2410" w:type="dxa"/>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pStyle w:val="2"/>
        <w:rPr>
          <w:rFonts w:hint="eastAsia" w:ascii="仿宋" w:hAnsi="仿宋" w:eastAsia="仿宋" w:cs="仿宋"/>
        </w:rPr>
      </w:pPr>
    </w:p>
    <w:p>
      <w:pPr>
        <w:widowControl/>
        <w:jc w:val="left"/>
        <w:rPr>
          <w:rFonts w:hint="eastAsia" w:ascii="仿宋" w:hAnsi="仿宋" w:eastAsia="仿宋" w:cs="仿宋"/>
          <w:b/>
          <w:bCs/>
          <w:sz w:val="24"/>
          <w:szCs w:val="28"/>
        </w:rPr>
      </w:pPr>
      <w:r>
        <w:rPr>
          <w:rFonts w:hint="eastAsia" w:ascii="仿宋" w:hAnsi="仿宋" w:eastAsia="仿宋" w:cs="仿宋"/>
          <w:sz w:val="24"/>
        </w:rPr>
        <w:br w:type="page"/>
      </w:r>
    </w:p>
    <w:bookmarkEnd w:id="12"/>
    <w:bookmarkEnd w:id="13"/>
    <w:bookmarkEnd w:id="14"/>
    <w:p>
      <w:pPr>
        <w:pStyle w:val="4"/>
        <w:spacing w:line="240" w:lineRule="auto"/>
        <w:rPr>
          <w:rFonts w:hint="eastAsia" w:ascii="仿宋" w:hAnsi="仿宋" w:eastAsia="仿宋" w:cs="仿宋"/>
          <w:b/>
          <w:bCs w:val="0"/>
          <w:iCs/>
          <w:sz w:val="24"/>
          <w:szCs w:val="24"/>
        </w:rPr>
      </w:pPr>
      <w:bookmarkStart w:id="17" w:name="_Toc105617043"/>
      <w:bookmarkStart w:id="18" w:name="_Toc18157"/>
      <w:bookmarkStart w:id="19" w:name="_Toc85019473"/>
      <w:bookmarkStart w:id="20" w:name="_Toc85019472"/>
      <w:r>
        <w:rPr>
          <w:rFonts w:hint="eastAsia" w:ascii="仿宋" w:hAnsi="仿宋" w:eastAsia="仿宋" w:cs="仿宋"/>
          <w:b/>
          <w:bCs w:val="0"/>
          <w:iCs/>
          <w:sz w:val="24"/>
          <w:szCs w:val="24"/>
        </w:rPr>
        <w:t>具有依法缴纳税收和社会保障资金的良好记录</w:t>
      </w:r>
      <w:bookmarkEnd w:id="17"/>
      <w:bookmarkEnd w:id="18"/>
    </w:p>
    <w:p>
      <w:pPr>
        <w:rPr>
          <w:rFonts w:hint="eastAsia" w:ascii="仿宋" w:hAnsi="仿宋" w:eastAsia="仿宋" w:cs="仿宋"/>
          <w:bCs/>
          <w:iCs/>
          <w:sz w:val="24"/>
          <w:szCs w:val="24"/>
        </w:rPr>
      </w:pPr>
      <w:r>
        <w:rPr>
          <w:rFonts w:hint="eastAsia" w:ascii="仿宋" w:hAnsi="仿宋" w:eastAsia="仿宋" w:cs="仿宋"/>
          <w:bCs/>
          <w:iCs/>
          <w:sz w:val="24"/>
          <w:szCs w:val="24"/>
        </w:rPr>
        <w:t>同时提供投标截止时间前</w:t>
      </w:r>
      <w:r>
        <w:rPr>
          <w:rFonts w:hint="eastAsia" w:ascii="仿宋" w:hAnsi="仿宋" w:eastAsia="仿宋" w:cs="仿宋"/>
          <w:bCs/>
          <w:iCs/>
          <w:sz w:val="24"/>
          <w:szCs w:val="24"/>
        </w:rPr>
        <w:t>12</w:t>
      </w:r>
      <w:r>
        <w:rPr>
          <w:rFonts w:hint="eastAsia" w:ascii="仿宋" w:hAnsi="仿宋" w:eastAsia="仿宋" w:cs="仿宋"/>
          <w:bCs/>
          <w:iCs/>
          <w:sz w:val="24"/>
          <w:szCs w:val="24"/>
        </w:rPr>
        <w:t>个月内缴存的任意时段的社保及税收缴纳证明；依法不需要缴纳的应提供相关证明文件</w:t>
      </w:r>
    </w:p>
    <w:p>
      <w:pPr>
        <w:rPr>
          <w:rFonts w:hint="eastAsia" w:ascii="仿宋" w:hAnsi="仿宋" w:eastAsia="仿宋" w:cs="仿宋"/>
        </w:rPr>
      </w:pPr>
    </w:p>
    <w:bookmarkEnd w:id="19"/>
    <w:p>
      <w:pPr>
        <w:pStyle w:val="4"/>
        <w:spacing w:line="240" w:lineRule="auto"/>
        <w:rPr>
          <w:rFonts w:hint="eastAsia" w:ascii="仿宋" w:hAnsi="仿宋" w:eastAsia="仿宋" w:cs="仿宋"/>
          <w:b w:val="0"/>
          <w:bCs/>
          <w:iCs/>
          <w:sz w:val="24"/>
          <w:szCs w:val="24"/>
        </w:rPr>
      </w:pPr>
      <w:r>
        <w:rPr>
          <w:rFonts w:hint="eastAsia" w:ascii="仿宋" w:hAnsi="仿宋" w:eastAsia="仿宋" w:cs="仿宋"/>
        </w:rPr>
        <w:br w:type="page"/>
      </w:r>
      <w:bookmarkEnd w:id="20"/>
      <w:bookmarkStart w:id="21" w:name="_Toc105617044"/>
      <w:bookmarkStart w:id="22" w:name="_Toc6131"/>
      <w:r>
        <w:rPr>
          <w:rFonts w:hint="eastAsia" w:ascii="仿宋" w:hAnsi="仿宋" w:eastAsia="仿宋" w:cs="仿宋"/>
          <w:b/>
          <w:bCs w:val="0"/>
          <w:iCs/>
          <w:sz w:val="24"/>
          <w:szCs w:val="24"/>
        </w:rPr>
        <w:t>参加政府采购活动前三年内，在经营活动中没有重大违法记录</w:t>
      </w:r>
      <w:bookmarkEnd w:id="21"/>
      <w:bookmarkEnd w:id="22"/>
    </w:p>
    <w:p>
      <w:pPr>
        <w:pStyle w:val="5"/>
        <w:wordWrap w:val="0"/>
        <w:spacing w:before="0" w:beforeAutospacing="0" w:after="0" w:afterAutospacing="0" w:line="360" w:lineRule="auto"/>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西安市自然资源和规划局长安分局矿产资源管理站</w:t>
      </w:r>
      <w:r>
        <w:rPr>
          <w:rFonts w:hint="eastAsia" w:ascii="仿宋" w:hAnsi="仿宋" w:eastAsia="仿宋" w:cs="仿宋"/>
          <w:szCs w:val="24"/>
          <w:shd w:val="clear" w:color="auto" w:fill="FFFFFF"/>
        </w:rPr>
        <w:t>：</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hint="eastAsia" w:ascii="仿宋" w:hAnsi="仿宋" w:eastAsia="仿宋" w:cs="仿宋"/>
          <w:szCs w:val="24"/>
          <w:shd w:val="clear" w:color="auto" w:fill="FFFFFF"/>
        </w:rPr>
      </w:pPr>
    </w:p>
    <w:p>
      <w:pPr>
        <w:pStyle w:val="5"/>
        <w:wordWrap w:val="0"/>
        <w:spacing w:before="0" w:beforeAutospacing="0" w:after="0" w:afterAutospacing="0" w:line="360" w:lineRule="auto"/>
        <w:ind w:firstLine="420"/>
        <w:rPr>
          <w:rFonts w:hint="eastAsia"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hint="eastAsia" w:ascii="仿宋" w:hAnsi="仿宋" w:eastAsia="仿宋" w:cs="仿宋"/>
                <w:sz w:val="24"/>
                <w:szCs w:val="24"/>
              </w:rPr>
            </w:pPr>
            <w:r>
              <w:rPr>
                <w:rFonts w:hint="eastAsia" w:ascii="仿宋" w:hAnsi="仿宋" w:eastAsia="仿宋" w:cs="仿宋"/>
                <w:sz w:val="24"/>
              </w:rPr>
              <w:t>供应商名称</w:t>
            </w:r>
          </w:p>
        </w:tc>
        <w:tc>
          <w:tcPr>
            <w:tcW w:w="287" w:type="dxa"/>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u w:val="single"/>
              </w:rPr>
              <w:t>（公章）</w:t>
            </w: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hint="eastAsia" w:ascii="仿宋" w:hAnsi="仿宋" w:eastAsia="仿宋" w:cs="仿宋"/>
                <w:sz w:val="24"/>
                <w:szCs w:val="24"/>
              </w:rPr>
            </w:pPr>
            <w:r>
              <w:rPr>
                <w:rFonts w:hint="eastAsia" w:ascii="仿宋" w:hAnsi="仿宋" w:eastAsia="仿宋" w:cs="仿宋"/>
                <w:sz w:val="24"/>
              </w:rPr>
              <w:t>法定代表人或被授权代表（签字或盖章）</w:t>
            </w:r>
          </w:p>
        </w:tc>
        <w:tc>
          <w:tcPr>
            <w:tcW w:w="287" w:type="dxa"/>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rPr>
      </w:pPr>
    </w:p>
    <w:bookmarkEnd w:id="3"/>
    <w:bookmarkEnd w:id="4"/>
    <w:bookmarkEnd w:id="5"/>
    <w:bookmarkEnd w:id="6"/>
    <w:bookmarkEnd w:id="7"/>
    <w:bookmarkEnd w:id="8"/>
    <w:p>
      <w:pPr>
        <w:widowControl/>
        <w:jc w:val="left"/>
        <w:rPr>
          <w:rFonts w:hint="eastAsia" w:ascii="仿宋" w:hAnsi="仿宋" w:eastAsia="仿宋" w:cs="仿宋"/>
          <w:bCs/>
          <w:iCs/>
          <w:sz w:val="24"/>
          <w:szCs w:val="24"/>
        </w:rPr>
      </w:pPr>
      <w:r>
        <w:rPr>
          <w:rFonts w:hint="eastAsia" w:ascii="仿宋" w:hAnsi="仿宋" w:eastAsia="仿宋" w:cs="仿宋"/>
          <w:b/>
          <w:bCs/>
          <w:iCs/>
          <w:sz w:val="24"/>
          <w:szCs w:val="24"/>
        </w:rPr>
        <w:br w:type="page"/>
      </w:r>
    </w:p>
    <w:p>
      <w:pPr>
        <w:pStyle w:val="4"/>
        <w:spacing w:line="240" w:lineRule="auto"/>
        <w:rPr>
          <w:rFonts w:hint="eastAsia" w:ascii="仿宋" w:hAnsi="仿宋" w:eastAsia="仿宋" w:cs="仿宋"/>
          <w:b/>
          <w:bCs w:val="0"/>
          <w:iCs/>
          <w:sz w:val="24"/>
          <w:szCs w:val="24"/>
        </w:rPr>
      </w:pPr>
      <w:bookmarkStart w:id="23" w:name="_Toc105617045"/>
      <w:bookmarkStart w:id="24" w:name="_Toc26863"/>
      <w:r>
        <w:rPr>
          <w:rFonts w:hint="eastAsia" w:ascii="仿宋" w:hAnsi="仿宋" w:eastAsia="仿宋" w:cs="仿宋"/>
          <w:b/>
          <w:bCs w:val="0"/>
          <w:iCs/>
          <w:sz w:val="24"/>
          <w:szCs w:val="24"/>
        </w:rPr>
        <w:t>法</w:t>
      </w:r>
      <w:bookmarkEnd w:id="23"/>
      <w:bookmarkEnd w:id="24"/>
      <w:r>
        <w:rPr>
          <w:rFonts w:hint="eastAsia" w:ascii="仿宋" w:hAnsi="仿宋" w:eastAsia="仿宋" w:cs="仿宋"/>
          <w:b/>
          <w:bCs w:val="0"/>
          <w:iCs/>
          <w:sz w:val="24"/>
          <w:szCs w:val="24"/>
        </w:rPr>
        <w:t>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tabs>
          <w:tab w:val="left" w:pos="8820"/>
        </w:tabs>
        <w:spacing w:line="360" w:lineRule="auto"/>
        <w:ind w:firstLine="570"/>
        <w:rPr>
          <w:rFonts w:hint="eastAsia" w:ascii="仿宋" w:hAnsi="仿宋" w:eastAsia="仿宋" w:cs="仿宋"/>
          <w:sz w:val="24"/>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（供应商名称）  </w:t>
      </w:r>
      <w:r>
        <w:rPr>
          <w:rFonts w:hint="eastAsia" w:ascii="仿宋" w:hAnsi="仿宋" w:eastAsia="仿宋" w:cs="仿宋"/>
          <w:sz w:val="24"/>
        </w:rPr>
        <w:t>的法定代表人，现代表公司授权下面签字的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为我公司合法代理人，代表本公司参加</w:t>
      </w:r>
      <w:r>
        <w:rPr>
          <w:rFonts w:hint="eastAsia" w:ascii="仿宋" w:hAnsi="仿宋" w:eastAsia="仿宋" w:cs="仿宋"/>
          <w:sz w:val="24"/>
          <w:u w:val="single"/>
        </w:rPr>
        <w:t>（项目名称）（项目编号）</w:t>
      </w:r>
      <w:r>
        <w:rPr>
          <w:rFonts w:hint="eastAsia" w:ascii="仿宋" w:hAnsi="仿宋" w:eastAsia="仿宋" w:cs="仿宋"/>
          <w:sz w:val="24"/>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rPr>
      </w:pPr>
      <w:r>
        <w:rPr>
          <w:rFonts w:hint="eastAsia" w:ascii="仿宋" w:hAnsi="仿宋" w:eastAsia="仿宋" w:cs="仿宋"/>
          <w:sz w:val="24"/>
        </w:rPr>
        <w:t>本授权委托书于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日签字（或盖章）生效，自开标之日起有效期</w:t>
      </w:r>
      <w:r>
        <w:rPr>
          <w:rFonts w:hint="eastAsia" w:ascii="仿宋" w:hAnsi="仿宋" w:eastAsia="仿宋" w:cs="仿宋"/>
          <w:sz w:val="24"/>
          <w:u w:val="single"/>
        </w:rPr>
        <w:t xml:space="preserve"> </w:t>
      </w:r>
      <w:r>
        <w:rPr>
          <w:rFonts w:hint="eastAsia" w:ascii="仿宋" w:hAnsi="仿宋" w:eastAsia="仿宋" w:cs="仿宋"/>
          <w:sz w:val="24"/>
          <w:u w:val="single"/>
        </w:rPr>
        <w:t>90</w:t>
      </w:r>
      <w:r>
        <w:rPr>
          <w:rFonts w:hint="eastAsia" w:ascii="仿宋" w:hAnsi="仿宋" w:eastAsia="仿宋" w:cs="仿宋"/>
          <w:sz w:val="24"/>
          <w:u w:val="single"/>
        </w:rPr>
        <w:t xml:space="preserve"> </w:t>
      </w:r>
      <w:r>
        <w:rPr>
          <w:rFonts w:hint="eastAsia" w:ascii="仿宋" w:hAnsi="仿宋" w:eastAsia="仿宋" w:cs="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法人身份证复印件</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正反面</w:t>
            </w:r>
          </w:p>
          <w:p>
            <w:pPr>
              <w:spacing w:line="360" w:lineRule="auto"/>
              <w:rPr>
                <w:rFonts w:hint="eastAsia" w:ascii="仿宋" w:hAnsi="仿宋" w:eastAsia="仿宋" w:cs="仿宋"/>
                <w:sz w:val="24"/>
                <w:szCs w:val="24"/>
              </w:rPr>
            </w:pPr>
          </w:p>
        </w:tc>
        <w:tc>
          <w:tcPr>
            <w:tcW w:w="4390"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被授权人身份证复印件</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正反面</w:t>
            </w:r>
          </w:p>
          <w:p>
            <w:pPr>
              <w:spacing w:line="360" w:lineRule="auto"/>
              <w:jc w:val="center"/>
              <w:rPr>
                <w:rFonts w:hint="eastAsia" w:ascii="仿宋" w:hAnsi="仿宋" w:eastAsia="仿宋" w:cs="仿宋"/>
                <w:sz w:val="24"/>
                <w:szCs w:val="24"/>
              </w:rPr>
            </w:pPr>
          </w:p>
        </w:tc>
      </w:tr>
    </w:tbl>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sz w:val="24"/>
        </w:rPr>
      </w:pPr>
      <w:r>
        <w:rPr>
          <w:rFonts w:hint="eastAsia" w:ascii="仿宋" w:hAnsi="仿宋" w:eastAsia="仿宋" w:cs="仿宋"/>
          <w:sz w:val="24"/>
        </w:rPr>
        <w:t>注：</w:t>
      </w:r>
      <w:r>
        <w:rPr>
          <w:rFonts w:hint="eastAsia" w:ascii="仿宋" w:hAnsi="仿宋" w:eastAsia="仿宋" w:cs="仿宋"/>
          <w:bCs/>
          <w:sz w:val="24"/>
          <w:szCs w:val="24"/>
        </w:rPr>
        <w:t>法定代表人直接投标的，须出示身份证；法定代表人授权他人参与投标的，须提供法定代表人授权委托书、被授权人身份证</w:t>
      </w:r>
      <w:r>
        <w:rPr>
          <w:rFonts w:hint="eastAsia" w:ascii="仿宋" w:hAnsi="仿宋" w:eastAsia="仿宋" w:cs="仿宋"/>
          <w:b/>
          <w:bCs/>
          <w:sz w:val="24"/>
          <w:szCs w:val="24"/>
        </w:rPr>
        <w:t>。</w:t>
      </w:r>
      <w:r>
        <w:rPr>
          <w:rFonts w:hint="eastAsia" w:ascii="仿宋" w:hAnsi="仿宋" w:eastAsia="仿宋" w:cs="仿宋"/>
          <w:sz w:val="24"/>
        </w:rPr>
        <w:t>被授权人提供响应文件截止时间前一年内任意一个月在投标人单位缴纳社会保障资金（养老保险或医疗保险）的缴纳证明及被授权人身份证</w:t>
      </w:r>
    </w:p>
    <w:p>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（公章）</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（签字）</w:t>
      </w:r>
    </w:p>
    <w:p>
      <w:pPr>
        <w:spacing w:line="400" w:lineRule="atLeast"/>
        <w:ind w:firstLine="3360" w:firstLineChars="1400"/>
        <w:rPr>
          <w:rFonts w:hint="eastAsia" w:ascii="仿宋" w:hAnsi="仿宋" w:eastAsia="仿宋" w:cs="仿宋"/>
          <w:sz w:val="24"/>
        </w:rPr>
      </w:pPr>
      <w:r>
        <w:rPr>
          <w:rFonts w:hint="eastAsia" w:ascii="仿宋" w:hAnsi="仿宋" w:eastAsia="仿宋" w:cs="仿宋"/>
          <w:sz w:val="24"/>
        </w:rPr>
        <w:t xml:space="preserve">日期：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pStyle w:val="2"/>
        <w:rPr>
          <w:rFonts w:hint="eastAsia" w:ascii="仿宋" w:hAnsi="仿宋" w:eastAsia="仿宋" w:cs="仿宋"/>
        </w:rPr>
      </w:pPr>
      <w:r>
        <w:rPr>
          <w:rFonts w:hint="eastAsia" w:ascii="仿宋" w:hAnsi="仿宋" w:eastAsia="仿宋" w:cs="仿宋"/>
        </w:rPr>
        <w:br w:type="page"/>
      </w:r>
    </w:p>
    <w:p>
      <w:pPr>
        <w:rPr>
          <w:rFonts w:hint="eastAsia" w:ascii="仿宋" w:hAnsi="仿宋" w:eastAsia="仿宋" w:cs="仿宋"/>
          <w:b/>
          <w:bCs w:val="0"/>
          <w:iCs/>
          <w:sz w:val="24"/>
          <w:szCs w:val="24"/>
        </w:rPr>
      </w:pPr>
      <w:bookmarkStart w:id="25" w:name="_Toc22607"/>
      <w:bookmarkStart w:id="26" w:name="_Toc105617047"/>
      <w:r>
        <w:rPr>
          <w:rFonts w:hint="eastAsia" w:ascii="仿宋" w:hAnsi="仿宋" w:eastAsia="仿宋" w:cs="仿宋"/>
          <w:b/>
          <w:bCs w:val="0"/>
          <w:iCs/>
          <w:sz w:val="24"/>
          <w:szCs w:val="24"/>
        </w:rPr>
        <w:t>供应商须具备地质灾害评估和治理工程勘查设计资质甲级</w:t>
      </w:r>
    </w:p>
    <w:p>
      <w:pPr>
        <w:rPr>
          <w:rFonts w:hint="eastAsia" w:ascii="仿宋" w:hAnsi="仿宋" w:eastAsia="仿宋" w:cs="仿宋"/>
          <w:b/>
          <w:bCs w:val="0"/>
          <w:iCs/>
          <w:sz w:val="24"/>
          <w:szCs w:val="24"/>
        </w:rPr>
      </w:pPr>
      <w:r>
        <w:rPr>
          <w:rFonts w:hint="eastAsia" w:ascii="仿宋" w:hAnsi="仿宋" w:eastAsia="仿宋" w:cs="仿宋"/>
          <w:b/>
          <w:bCs w:val="0"/>
          <w:iCs/>
          <w:sz w:val="24"/>
          <w:szCs w:val="24"/>
        </w:rPr>
        <w:br w:type="page"/>
      </w:r>
    </w:p>
    <w:p>
      <w:pPr>
        <w:pStyle w:val="4"/>
        <w:spacing w:line="240" w:lineRule="auto"/>
        <w:rPr>
          <w:rFonts w:hint="eastAsia" w:ascii="仿宋" w:hAnsi="仿宋" w:eastAsia="仿宋" w:cs="仿宋"/>
          <w:b/>
          <w:bCs w:val="0"/>
          <w:iCs/>
          <w:sz w:val="24"/>
          <w:szCs w:val="24"/>
        </w:rPr>
      </w:pPr>
      <w:r>
        <w:rPr>
          <w:rFonts w:hint="eastAsia" w:ascii="仿宋" w:hAnsi="仿宋" w:eastAsia="仿宋" w:cs="仿宋"/>
          <w:b/>
          <w:bCs w:val="0"/>
          <w:iCs/>
          <w:sz w:val="24"/>
          <w:szCs w:val="24"/>
        </w:rPr>
        <w:t>本项目不接受联合体投标</w:t>
      </w:r>
      <w:bookmarkEnd w:id="25"/>
      <w:bookmarkEnd w:id="26"/>
    </w:p>
    <w:p>
      <w:pPr>
        <w:pStyle w:val="5"/>
        <w:wordWrap w:val="0"/>
        <w:spacing w:before="0" w:beforeAutospacing="0" w:after="0" w:afterAutospacing="0" w:line="360" w:lineRule="auto"/>
        <w:rPr>
          <w:rFonts w:hint="eastAsia" w:ascii="仿宋" w:hAnsi="仿宋" w:eastAsia="仿宋" w:cs="仿宋"/>
          <w:szCs w:val="24"/>
          <w:shd w:val="clear" w:color="auto" w:fill="FFFFFF"/>
          <w:lang w:eastAsia="zh-CN"/>
        </w:rPr>
      </w:pPr>
      <w:r>
        <w:rPr>
          <w:rFonts w:hint="eastAsia" w:ascii="仿宋" w:hAnsi="仿宋" w:eastAsia="仿宋" w:cs="仿宋"/>
          <w:szCs w:val="24"/>
          <w:shd w:val="clear" w:color="auto" w:fill="FFFFFF"/>
        </w:rPr>
        <w:t>致：</w:t>
      </w:r>
      <w:r>
        <w:rPr>
          <w:rFonts w:hint="eastAsia" w:ascii="仿宋" w:hAnsi="仿宋" w:eastAsia="仿宋" w:cs="仿宋"/>
          <w:szCs w:val="24"/>
          <w:shd w:val="clear" w:color="auto" w:fill="FFFFFF"/>
          <w:lang w:eastAsia="zh-CN"/>
        </w:rPr>
        <w:t>西安市自然资源和规划局长安分局矿产资源管理站</w:t>
      </w:r>
    </w:p>
    <w:p>
      <w:pPr>
        <w:pStyle w:val="5"/>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hint="eastAsia" w:ascii="仿宋" w:hAnsi="仿宋" w:eastAsia="仿宋" w:cs="仿宋"/>
          <w:szCs w:val="24"/>
          <w:shd w:val="clear" w:color="auto" w:fill="FFFFFF"/>
        </w:rPr>
      </w:pPr>
    </w:p>
    <w:p>
      <w:pPr>
        <w:pStyle w:val="5"/>
        <w:wordWrap w:val="0"/>
        <w:spacing w:before="0" w:beforeAutospacing="0" w:after="0" w:afterAutospacing="0" w:line="360" w:lineRule="auto"/>
        <w:ind w:firstLine="420"/>
        <w:rPr>
          <w:rFonts w:hint="eastAsia" w:ascii="仿宋" w:hAnsi="仿宋" w:eastAsia="仿宋" w:cs="仿宋"/>
          <w:szCs w:val="24"/>
          <w:shd w:val="clear" w:color="auto" w:fill="FFFFFF"/>
        </w:rPr>
      </w:pPr>
    </w:p>
    <w:p>
      <w:pPr>
        <w:pStyle w:val="5"/>
        <w:wordWrap w:val="0"/>
        <w:spacing w:before="0" w:beforeAutospacing="0" w:after="0" w:afterAutospacing="0" w:line="360" w:lineRule="auto"/>
        <w:ind w:firstLine="420"/>
        <w:rPr>
          <w:rFonts w:hint="eastAsia" w:ascii="仿宋" w:hAnsi="仿宋" w:eastAsia="仿宋" w:cs="仿宋"/>
          <w:szCs w:val="24"/>
          <w:shd w:val="clear" w:color="auto" w:fill="FFFFFF"/>
        </w:rPr>
      </w:pPr>
    </w:p>
    <w:p>
      <w:pPr>
        <w:pStyle w:val="5"/>
        <w:wordWrap w:val="0"/>
        <w:spacing w:before="0" w:beforeAutospacing="0" w:after="0" w:afterAutospacing="0" w:line="360" w:lineRule="auto"/>
        <w:ind w:firstLine="420"/>
        <w:rPr>
          <w:rFonts w:hint="eastAsia" w:ascii="仿宋" w:hAnsi="仿宋" w:eastAsia="仿宋" w:cs="仿宋"/>
          <w:szCs w:val="24"/>
          <w:highlight w:val="yellow"/>
        </w:rPr>
      </w:pPr>
    </w:p>
    <w:p>
      <w:pPr>
        <w:rPr>
          <w:rFonts w:hint="eastAsia" w:ascii="仿宋" w:hAnsi="仿宋" w:eastAsia="仿宋" w:cs="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hint="eastAsia" w:ascii="仿宋" w:hAnsi="仿宋" w:eastAsia="仿宋" w:cs="仿宋"/>
                <w:b w:val="0"/>
                <w:sz w:val="24"/>
                <w:szCs w:val="24"/>
              </w:rPr>
            </w:pPr>
            <w:r>
              <w:rPr>
                <w:rFonts w:hint="eastAsia" w:ascii="仿宋" w:hAnsi="仿宋" w:eastAsia="仿宋" w:cs="仿宋"/>
                <w:sz w:val="24"/>
                <w:szCs w:val="24"/>
              </w:rPr>
              <w:t>法定代表人或被授权代表签字或盖章</w:t>
            </w:r>
          </w:p>
        </w:tc>
        <w:tc>
          <w:tcPr>
            <w:tcW w:w="287" w:type="dxa"/>
            <w:vAlign w:val="bottom"/>
          </w:tcPr>
          <w:p>
            <w:pPr>
              <w:pStyle w:val="2"/>
              <w:jc w:val="left"/>
              <w:rPr>
                <w:rFonts w:hint="eastAsia" w:ascii="仿宋" w:hAnsi="仿宋" w:eastAsia="仿宋" w:cs="仿宋"/>
                <w:b w:val="0"/>
                <w:sz w:val="24"/>
                <w:szCs w:val="24"/>
              </w:rPr>
            </w:pPr>
            <w:r>
              <w:rPr>
                <w:rFonts w:hint="eastAsia" w:ascii="仿宋" w:hAnsi="仿宋" w:eastAsia="仿宋" w:cs="仿宋"/>
                <w:sz w:val="24"/>
                <w:szCs w:val="24"/>
              </w:rPr>
              <w:t>：</w:t>
            </w:r>
          </w:p>
        </w:tc>
        <w:tc>
          <w:tcPr>
            <w:tcW w:w="3115" w:type="dxa"/>
            <w:vAlign w:val="bottom"/>
          </w:tcPr>
          <w:p>
            <w:pPr>
              <w:pStyle w:val="2"/>
              <w:rPr>
                <w:rFonts w:hint="eastAsia" w:ascii="仿宋" w:hAnsi="仿宋" w:eastAsia="仿宋" w:cs="仿宋"/>
                <w:b w:val="0"/>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hint="eastAsia" w:ascii="仿宋" w:hAnsi="仿宋" w:eastAsia="仿宋" w:cs="仿宋"/>
                <w:b w:val="0"/>
                <w:sz w:val="24"/>
                <w:szCs w:val="24"/>
              </w:rPr>
            </w:pPr>
            <w:r>
              <w:rPr>
                <w:rFonts w:hint="eastAsia" w:ascii="仿宋" w:hAnsi="仿宋" w:eastAsia="仿宋" w:cs="仿宋"/>
                <w:sz w:val="24"/>
                <w:szCs w:val="24"/>
              </w:rPr>
              <w:t>供应商</w:t>
            </w:r>
          </w:p>
        </w:tc>
        <w:tc>
          <w:tcPr>
            <w:tcW w:w="287" w:type="dxa"/>
            <w:vAlign w:val="bottom"/>
          </w:tcPr>
          <w:p>
            <w:pPr>
              <w:pStyle w:val="2"/>
              <w:jc w:val="left"/>
              <w:rPr>
                <w:rFonts w:hint="eastAsia" w:ascii="仿宋" w:hAnsi="仿宋" w:eastAsia="仿宋" w:cs="仿宋"/>
                <w:b w:val="0"/>
                <w:sz w:val="24"/>
                <w:szCs w:val="24"/>
              </w:rPr>
            </w:pPr>
            <w:r>
              <w:rPr>
                <w:rFonts w:hint="eastAsia" w:ascii="仿宋" w:hAnsi="仿宋" w:eastAsia="仿宋" w:cs="仿宋"/>
                <w:sz w:val="24"/>
                <w:szCs w:val="24"/>
              </w:rPr>
              <w:t>：</w:t>
            </w:r>
          </w:p>
        </w:tc>
        <w:tc>
          <w:tcPr>
            <w:tcW w:w="3115" w:type="dxa"/>
            <w:vAlign w:val="bottom"/>
          </w:tcPr>
          <w:p>
            <w:pPr>
              <w:pStyle w:val="2"/>
              <w:rPr>
                <w:rFonts w:hint="eastAsia" w:ascii="仿宋" w:hAnsi="仿宋" w:eastAsia="仿宋" w:cs="仿宋"/>
                <w:b w:val="0"/>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hint="eastAsia" w:ascii="仿宋" w:hAnsi="仿宋" w:eastAsia="仿宋" w:cs="仿宋"/>
                <w:b w:val="0"/>
                <w:sz w:val="24"/>
                <w:szCs w:val="24"/>
              </w:rPr>
            </w:pPr>
            <w:r>
              <w:rPr>
                <w:rFonts w:hint="eastAsia" w:ascii="仿宋" w:hAnsi="仿宋" w:eastAsia="仿宋" w:cs="仿宋"/>
                <w:sz w:val="24"/>
                <w:szCs w:val="24"/>
              </w:rPr>
              <w:t>日期</w:t>
            </w:r>
          </w:p>
        </w:tc>
        <w:tc>
          <w:tcPr>
            <w:tcW w:w="287" w:type="dxa"/>
            <w:vAlign w:val="bottom"/>
          </w:tcPr>
          <w:p>
            <w:pPr>
              <w:pStyle w:val="2"/>
              <w:jc w:val="left"/>
              <w:rPr>
                <w:rFonts w:hint="eastAsia" w:ascii="仿宋" w:hAnsi="仿宋" w:eastAsia="仿宋" w:cs="仿宋"/>
                <w:b w:val="0"/>
                <w:sz w:val="24"/>
                <w:szCs w:val="24"/>
              </w:rPr>
            </w:pPr>
            <w:r>
              <w:rPr>
                <w:rFonts w:hint="eastAsia" w:ascii="仿宋" w:hAnsi="仿宋" w:eastAsia="仿宋" w:cs="仿宋"/>
                <w:sz w:val="24"/>
                <w:szCs w:val="24"/>
              </w:rPr>
              <w:t>：</w:t>
            </w:r>
          </w:p>
        </w:tc>
        <w:tc>
          <w:tcPr>
            <w:tcW w:w="3115" w:type="dxa"/>
            <w:vAlign w:val="bottom"/>
          </w:tcPr>
          <w:p>
            <w:pPr>
              <w:pStyle w:val="2"/>
              <w:rPr>
                <w:rFonts w:hint="eastAsia" w:ascii="仿宋" w:hAnsi="仿宋" w:eastAsia="仿宋" w:cs="仿宋"/>
                <w:b w:val="0"/>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486F273F"/>
    <w:rsid w:val="02105134"/>
    <w:rsid w:val="023713C1"/>
    <w:rsid w:val="046E76D5"/>
    <w:rsid w:val="124F1F2D"/>
    <w:rsid w:val="1BFE5ADE"/>
    <w:rsid w:val="3B6A197D"/>
    <w:rsid w:val="3E1227B1"/>
    <w:rsid w:val="486F273F"/>
    <w:rsid w:val="4B751DCD"/>
    <w:rsid w:val="4C6360CA"/>
    <w:rsid w:val="69CC624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b/>
      <w:sz w:val="28"/>
    </w:rPr>
  </w:style>
  <w:style w:type="paragraph" w:styleId="5">
    <w:name w:val="Normal (Web)"/>
    <w:basedOn w:val="1"/>
    <w:autoRedefine/>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1799</Words>
  <Characters>1824</Characters>
  <Lines>0</Lines>
  <Paragraphs>0</Paragraphs>
  <TotalTime>44</TotalTime>
  <ScaleCrop>false</ScaleCrop>
  <LinksUpToDate>false</LinksUpToDate>
  <CharactersWithSpaces>2454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2024-04-02T03:47:05Z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F8A8DF1BFD67441683E2C28521FEE55D_11</vt:lpwstr>
  </property>
</Properties>
</file>