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版本号：241008001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西安青年人才交流活动中心项目全过程工程咨询服务</w:t>
      </w:r>
    </w:p>
    <w:p>
      <w:pPr>
        <w:pStyle w:val="null3"/>
        <w:jc w:val="center"/>
        <w:outlineLvl w:val="2"/>
      </w:pPr>
      <w:r>
        <w:rPr>
          <w:sz w:val="28"/>
          <w:b/>
        </w:rPr>
        <w:t>采购项目编号：</w:t>
      </w:r>
      <w:r>
        <w:rPr>
          <w:sz w:val="28"/>
          <w:b/>
        </w:rPr>
        <w:t>ZAGL-2024-009</w:t>
      </w:r>
      <w:r>
        <w:br/>
      </w:r>
      <w:r>
        <w:br/>
      </w:r>
      <w:r>
        <w:br/>
      </w:r>
    </w:p>
    <w:p>
      <w:pPr>
        <w:pStyle w:val="null3"/>
        <w:jc w:val="center"/>
        <w:outlineLvl w:val="2"/>
      </w:pPr>
      <w:r>
        <w:rPr>
          <w:sz w:val="28"/>
          <w:b/>
        </w:rPr>
        <w:t>中共西安市长安区委组织部</w:t>
      </w:r>
    </w:p>
    <w:p>
      <w:pPr>
        <w:pStyle w:val="null3"/>
        <w:jc w:val="center"/>
        <w:outlineLvl w:val="2"/>
      </w:pPr>
      <w:r>
        <w:rPr>
          <w:sz w:val="28"/>
          <w:b/>
        </w:rPr>
        <w:t>卓安项目管理有限公司</w:t>
      </w:r>
      <w:r>
        <w:rPr>
          <w:sz w:val="28"/>
          <w:b/>
        </w:rPr>
        <w:t>共同编制</w:t>
      </w:r>
    </w:p>
    <w:p>
      <w:pPr>
        <w:pStyle w:val="null3"/>
        <w:jc w:val="center"/>
        <w:outlineLvl w:val="2"/>
      </w:pPr>
      <w:r>
        <w:rPr>
          <w:sz w:val="28"/>
          <w:b/>
        </w:rPr>
        <w:t>2024年10月09日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卓安项目管理有限公司</w:t>
      </w:r>
      <w:r>
        <w:rPr/>
        <w:t>（以下简称“代理机构”）受</w:t>
      </w:r>
      <w:r>
        <w:rPr/>
        <w:t>中共西安市长安区委组织部</w:t>
      </w:r>
      <w:r>
        <w:rPr/>
        <w:t>委托，拟对</w:t>
      </w:r>
      <w:r>
        <w:rPr/>
        <w:t>西安青年人才交流活动中心项目全过程工程咨询服务</w:t>
      </w:r>
      <w:r>
        <w:rPr/>
        <w:t>采用竞争性磋商采购方式进行采购，兹邀请供应商参加本项目的竞争性磋商。</w:t>
      </w:r>
    </w:p>
    <w:p>
      <w:pPr>
        <w:pStyle w:val="null3"/>
        <w:outlineLvl w:val="2"/>
      </w:pPr>
      <w:r>
        <w:rPr>
          <w:sz w:val="28"/>
          <w:b/>
        </w:rPr>
        <w:t>一、项目编号：</w:t>
      </w:r>
      <w:r>
        <w:rPr>
          <w:sz w:val="28"/>
          <w:b/>
        </w:rPr>
        <w:t>ZAGL-2024-009</w:t>
      </w:r>
    </w:p>
    <w:p>
      <w:pPr>
        <w:pStyle w:val="null3"/>
        <w:outlineLvl w:val="2"/>
      </w:pPr>
      <w:r>
        <w:rPr>
          <w:sz w:val="28"/>
          <w:b/>
        </w:rPr>
        <w:t>二、项目名称：</w:t>
      </w:r>
      <w:r>
        <w:rPr>
          <w:sz w:val="28"/>
          <w:b/>
        </w:rPr>
        <w:t>西安青年人才交流活动中心项目全过程工程咨询服务</w:t>
      </w:r>
    </w:p>
    <w:p>
      <w:pPr>
        <w:pStyle w:val="null3"/>
        <w:outlineLvl w:val="2"/>
      </w:pPr>
      <w:r>
        <w:rPr>
          <w:sz w:val="28"/>
          <w:b/>
        </w:rPr>
        <w:t>三、磋商项目简介</w:t>
      </w:r>
    </w:p>
    <w:p>
      <w:pPr>
        <w:pStyle w:val="null3"/>
        <w:ind w:firstLine="480"/>
      </w:pPr>
      <w:r>
        <w:rPr/>
        <w:t>西安青年人才交流活动中心项目主要建设内容为1～6号楼联排别墅改造，改造面积2611㎡，改造内容包括室内吊顶、楼梯扶手、隔断、窗台石、洗手台、绿化、强弱电改造、展陈、电量增容、空调系统等，同时建设项目改造所需的其他基础配套设施，项目投资总额：1944.86万元，为配合项目开展，项目实施全过程工程咨询服务，服务内容包括西安青年人才交流活动中心项目设计阶段、施工阶段、竣工验收阶段、保修阶段、项目后评价等阶段的工程监理、全过程造价咨询等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采购包1（西安青年人才交流活动中心项目全过程工程咨询服务）：属于专门面向中小企业采购。</w:t>
      </w:r>
    </w:p>
    <w:p>
      <w:pPr>
        <w:pStyle w:val="null3"/>
        <w:ind w:firstLine="480"/>
      </w:pPr>
      <w:r>
        <w:rPr/>
        <w:t>（三）本项目的特定资格要求：</w:t>
      </w:r>
    </w:p>
    <w:p>
      <w:pPr>
        <w:pStyle w:val="null3"/>
      </w:pPr>
      <w:r>
        <w:rPr/>
        <w:t>采购包1：</w:t>
      </w:r>
    </w:p>
    <w:p>
      <w:pPr>
        <w:pStyle w:val="null3"/>
      </w:pPr>
      <w:r>
        <w:rPr/>
        <w:t>1、统一社会信用代码证的营业执照：具有独立承担民事责任能力的法人、其他组织或自然人，并出具合法有效的营业执照或事业单位法人证书等国家规定的相关证明，自然人参与的提供其身份证明。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具有财务审计资质单位出具的2023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t>3、税收缴纳证明：提供2023年1月1日至今任意一个月已缴纳的纳税证明或完税证明（包含增值税、企业所得税、营业税至少一种）；（依法免税的供应商应提供相关文件证明）。</w:t>
      </w:r>
    </w:p>
    <w:p>
      <w:pPr>
        <w:pStyle w:val="null3"/>
      </w:pPr>
      <w:r>
        <w:rPr/>
        <w:t>4、社会保障资金缴纳证明：提供2023年1月1日至今任意一个月的社保缴费凭据或社保机构开具的社会保险参保缴费情况证明；（依法不需要缴纳社会保障资金的供应商应提供相关证明）。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5、提供具有履行本合同所必需的设备和专业技术能力的说明及承诺：提供具有履行本合同所必需的设备和专业技术能力的说明及承诺；（格式自拟，加盖供应商公章）</w:t>
      </w:r>
    </w:p>
    <w:p>
      <w:pPr>
        <w:pStyle w:val="null3"/>
      </w:pPr>
      <w:r>
        <w:rPr/>
        <w:t>6、提供参加政府采购活动前三年内在经营活动中没有重大违法记录的书面声明：提供参加政府采购活动前三年内在经营活动中没有重大违法记录的书面声明。（格式自拟，加盖供应商公章）</w:t>
      </w:r>
    </w:p>
    <w:p>
      <w:pPr>
        <w:pStyle w:val="null3"/>
      </w:pPr>
      <w:r>
        <w:rPr/>
        <w:t>7、法定代表人或负责人资格证明书：法定代表人或负责人参与磋商时需提供法定代表人或负责人证明书（附法定代表人或负责人身份证复印件）</w:t>
      </w:r>
    </w:p>
    <w:p>
      <w:pPr>
        <w:pStyle w:val="null3"/>
      </w:pPr>
      <w:r>
        <w:rPr/>
        <w:t>8、法定代表人授权委托书或负责人授权委托书：被授权人参与磋商时需提供法定代表人授权书或负责人授权委托书（附法定代表人或负责人及被授权人身份证复印件）</w:t>
      </w:r>
    </w:p>
    <w:p>
      <w:pPr>
        <w:pStyle w:val="null3"/>
      </w:pPr>
      <w:r>
        <w:rPr/>
        <w:t>9、供应商资格要求：须具备建设行政主管部门颁发的工程监理综合资质或房屋建筑工程监理丙级及以上资质；</w:t>
      </w:r>
    </w:p>
    <w:p>
      <w:pPr>
        <w:pStyle w:val="null3"/>
      </w:pPr>
      <w:r>
        <w:rPr/>
        <w:t>10、项目总负责人：须具备房屋建筑工程专业国家注册监理工程师执业资格或一级注册造价工程师资格并在本单位注册，项目总负责人最多可同时担任两个项目总监理工程师，但须出具承诺保证书；（本项目全过程工程咨询服务总负责人与监理项目负责人或造价咨询项目负责人可为同一人，但须同时满足其资格要求）</w:t>
      </w:r>
    </w:p>
    <w:p>
      <w:pPr>
        <w:pStyle w:val="null3"/>
      </w:pPr>
      <w:r>
        <w:rPr/>
        <w:t>11、监理项目负责人：须具备房屋建筑工程专业国家注册监理工程师执业资格并在本单位注册，监理负责人最多可同时担任两个项目总监理工程师，但须出具承诺保证书；</w:t>
      </w:r>
    </w:p>
    <w:p>
      <w:pPr>
        <w:pStyle w:val="null3"/>
      </w:pPr>
      <w:r>
        <w:rPr/>
        <w:t>12、造价咨询项目负责人：须具备一级注册造价工程师资格并在本单位注册；</w:t>
      </w:r>
    </w:p>
    <w:p>
      <w:pPr>
        <w:pStyle w:val="null3"/>
      </w:pPr>
      <w:r>
        <w:rPr/>
        <w:t>13、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t>14、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t>15、本项目专门面向中小企业采购：须符合《政府采购促进中小企业发展管理办法》（财库〔2020〕46号）规定的中小企业参加。(提供《中小企业声明函》，式样见竞争性磋商响应文件格式)</w:t>
      </w:r>
    </w:p>
    <w:p>
      <w:pPr>
        <w:pStyle w:val="null3"/>
      </w:pPr>
      <w:r>
        <w:rPr/>
        <w:t>16、本项目不接受联合体磋商：本项目不接受联合体磋商。（提供书面承诺函，格式自拟加盖供应商公章）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中共西安市长安区委组织部</w:t>
      </w:r>
    </w:p>
    <w:p>
      <w:pPr>
        <w:pStyle w:val="null3"/>
      </w:pPr>
      <w:r>
        <w:rPr/>
        <w:t xml:space="preserve"> 地址： </w:t>
      </w:r>
      <w:r>
        <w:rPr/>
        <w:t>西安市长安区西长安街669号东四楼</w:t>
      </w:r>
    </w:p>
    <w:p>
      <w:pPr>
        <w:pStyle w:val="null3"/>
      </w:pPr>
      <w:r>
        <w:rPr/>
        <w:t xml:space="preserve"> 邮编： </w:t>
      </w:r>
      <w:r>
        <w:rPr/>
        <w:t>710100</w:t>
      </w:r>
    </w:p>
    <w:p>
      <w:pPr>
        <w:pStyle w:val="null3"/>
      </w:pPr>
      <w:r>
        <w:rPr/>
        <w:t xml:space="preserve"> 联系人： </w:t>
      </w:r>
      <w:r>
        <w:rPr/>
        <w:t>中共西安市长安区委组织部</w:t>
      </w:r>
    </w:p>
    <w:p>
      <w:pPr>
        <w:pStyle w:val="null3"/>
      </w:pPr>
      <w:r>
        <w:rPr/>
        <w:t xml:space="preserve"> 联系电话： </w:t>
      </w:r>
      <w:r>
        <w:rPr/>
        <w:t>029-85280185</w:t>
      </w:r>
    </w:p>
    <w:p>
      <w:pPr>
        <w:pStyle w:val="null3"/>
        <w:outlineLvl w:val="3"/>
      </w:pPr>
      <w:r>
        <w:rPr>
          <w:sz w:val="24"/>
          <w:b/>
        </w:rPr>
        <w:t>代理机构：</w:t>
      </w:r>
      <w:r>
        <w:rPr>
          <w:sz w:val="24"/>
          <w:b/>
        </w:rPr>
        <w:t>卓安项目管理有限公司</w:t>
      </w:r>
    </w:p>
    <w:p>
      <w:pPr>
        <w:pStyle w:val="null3"/>
      </w:pPr>
      <w:r>
        <w:rPr/>
        <w:t xml:space="preserve"> 地址： </w:t>
      </w:r>
      <w:r>
        <w:rPr/>
        <w:t>西安市朱雀大街南段1号汇成天玺C座18层</w:t>
      </w:r>
    </w:p>
    <w:p>
      <w:pPr>
        <w:pStyle w:val="null3"/>
      </w:pPr>
      <w:r>
        <w:rPr/>
        <w:t xml:space="preserve"> 邮编： </w:t>
      </w:r>
      <w:r>
        <w:rPr/>
        <w:t>710000</w:t>
      </w:r>
    </w:p>
    <w:p>
      <w:pPr>
        <w:pStyle w:val="null3"/>
      </w:pPr>
      <w:r>
        <w:rPr/>
        <w:t xml:space="preserve"> 联系人： </w:t>
      </w:r>
      <w:r>
        <w:rPr/>
        <w:t>姬工</w:t>
      </w:r>
    </w:p>
    <w:p>
      <w:pPr>
        <w:pStyle w:val="null3"/>
      </w:pPr>
      <w:r>
        <w:rPr/>
        <w:t xml:space="preserve"> 联系电话： </w:t>
      </w:r>
      <w:r>
        <w:rPr/>
        <w:t>029-87592322</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029-85645891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采购包1：465,100.00元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中标通知书时，向卓安项目管理有限公司交纳招标服务费。服务费收费标准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以成交金额为基数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中共西安市长安区委组织部</w:t>
      </w:r>
      <w:r>
        <w:rPr/>
        <w:t>和</w:t>
      </w:r>
      <w:r>
        <w:rPr/>
        <w:t>卓安项目管理有限公司</w:t>
      </w:r>
      <w:r>
        <w:rPr/>
        <w:t>享有。对磋商文件中供应商参加本次政府采购活动应当具备的条件，磋商项目技术、服务、商务及其他要求，评审细则及标准由</w:t>
      </w:r>
      <w:r>
        <w:rPr/>
        <w:t>中共西安市长安区委组织部</w:t>
      </w:r>
      <w:r>
        <w:rPr/>
        <w:t>负责解释。除上述磋商文件内容，其他内容由</w:t>
      </w:r>
      <w:r>
        <w:rPr/>
        <w:t>卓安项目管理有限公司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中共西安市长安区委组织部</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卓安项目管理有限公司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详见服务合同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卓安项目管理有限公司</w:t>
      </w:r>
      <w:r>
        <w:rPr/>
        <w:t xml:space="preserve"> 负责答复；供应商对除采购需求外的采购文件的询问、质疑由</w:t>
      </w:r>
      <w:r>
        <w:rPr/>
        <w:t>卓安项目管理有限公司</w:t>
      </w:r>
      <w:r>
        <w:rPr/>
        <w:t xml:space="preserve"> 负责答复；供应商对采购过程、采购结果的询问、质疑由 </w:t>
      </w:r>
      <w:r>
        <w:rPr/>
        <w:t>卓安项目管理有限公司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联系人：姬工</w:t>
      </w:r>
    </w:p>
    <w:p>
      <w:pPr>
        <w:pStyle w:val="null3"/>
      </w:pPr>
      <w:r>
        <w:rPr/>
        <w:t>联系电话：029-87592322</w:t>
      </w:r>
    </w:p>
    <w:p>
      <w:pPr>
        <w:pStyle w:val="null3"/>
      </w:pPr>
      <w:r>
        <w:rPr/>
        <w:t>地址：西安市朱雀大街南段1号汇成天玺C座18层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青年人才交流活动中心项目主要建设内容为1～6号楼联排别墅改造，改造面积2611㎡，改造内容包括室内吊顶、楼梯扶手、隔断、窗台石、洗手台、绿化、强弱电改造、展陈、电量增容、空调系统等，同时建设项目改造所需的其他基础配套设施，项目投资总额：1944.86万元，为配合项目开展，项目实施全过程工程咨询服务，服务内容包括西安青年人才交流活动中心项目设计阶段、施工阶段、竣工验收阶段、保修阶段、项目后评价等阶段的工程监理、全过程造价咨询等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465,100.00</w:t>
      </w:r>
    </w:p>
    <w:p>
      <w:pPr>
        <w:pStyle w:val="null3"/>
      </w:pPr>
      <w:r>
        <w:rPr/>
        <w:t>采购包最高限价（元）: 465,100.00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西安青年人才交流活动中心项目全过程工程咨询服务</w:t>
            </w:r>
          </w:p>
        </w:tc>
        <w:tc>
          <w:tcPr>
            <w:tcW w:type="dxa" w:w="831"/>
          </w:tcPr>
          <w:p>
            <w:pPr>
              <w:pStyle w:val="null3"/>
              <w:jc w:val="right"/>
            </w:pPr>
            <w:r>
              <w:rPr/>
              <w:t>1.00</w:t>
            </w:r>
          </w:p>
        </w:tc>
        <w:tc>
          <w:tcPr>
            <w:tcW w:type="dxa" w:w="831"/>
          </w:tcPr>
          <w:p>
            <w:pPr>
              <w:pStyle w:val="null3"/>
              <w:jc w:val="right"/>
            </w:pPr>
            <w:r>
              <w:rPr/>
              <w:t>465,100.00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标的名称：西安青年人才交流活动中心项目全过程工程咨询服务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一、服务内容</w:t>
            </w:r>
          </w:p>
          <w:p>
            <w:pPr>
              <w:pStyle w:val="null3"/>
              <w:jc w:val="left"/>
            </w:pPr>
            <w:r>
              <w:rPr>
                <w:rFonts w:ascii="宋体" w:hAnsi="宋体" w:cs="宋体" w:eastAsia="宋体"/>
                <w:sz w:val="24"/>
              </w:rPr>
              <w:t>西安青年人才交流活动中心项目主要建设内容为</w:t>
            </w:r>
            <w:r>
              <w:rPr>
                <w:rFonts w:ascii="宋体" w:hAnsi="宋体" w:cs="宋体" w:eastAsia="宋体"/>
                <w:sz w:val="24"/>
              </w:rPr>
              <w:t>1～6 号楼联排别墅改造，改造面积 2611 ㎡，改造内容包括室内吊顶、楼梯扶手、隔断、窗台石、洗手台、绿化、强弱电改造、展陈、电量增容、空调系统等，同时建设项目改造所需的其他基础配套设施，项目投资总额：1944.86万元，为配合项目开展，项目实施全过程工程咨询服务，服务内容包括</w:t>
            </w:r>
            <w:r>
              <w:rPr>
                <w:rFonts w:ascii="宋体" w:hAnsi="宋体" w:cs="宋体" w:eastAsia="宋体"/>
                <w:sz w:val="24"/>
              </w:rPr>
              <w:t>西安青年人才交流活动中心</w:t>
            </w:r>
            <w:r>
              <w:rPr>
                <w:rFonts w:ascii="宋体" w:hAnsi="宋体" w:cs="宋体" w:eastAsia="宋体"/>
                <w:sz w:val="24"/>
              </w:rPr>
              <w:t>项目设计阶段、施工阶段、竣工验收阶段、</w:t>
            </w:r>
            <w:r>
              <w:rPr>
                <w:rFonts w:ascii="宋体" w:hAnsi="宋体" w:cs="宋体" w:eastAsia="宋体"/>
                <w:sz w:val="24"/>
              </w:rPr>
              <w:t>保修阶段、</w:t>
            </w:r>
            <w:r>
              <w:rPr>
                <w:rFonts w:ascii="宋体" w:hAnsi="宋体" w:cs="宋体" w:eastAsia="宋体"/>
                <w:sz w:val="24"/>
              </w:rPr>
              <w:t>项目后评价等阶段</w:t>
            </w:r>
            <w:r>
              <w:rPr>
                <w:rFonts w:ascii="宋体" w:hAnsi="宋体" w:cs="宋体" w:eastAsia="宋体"/>
                <w:sz w:val="24"/>
              </w:rPr>
              <w:t>的</w:t>
            </w:r>
            <w:r>
              <w:rPr>
                <w:rFonts w:ascii="宋体" w:hAnsi="宋体" w:cs="宋体" w:eastAsia="宋体"/>
                <w:sz w:val="24"/>
              </w:rPr>
              <w:t>工程监理、全过程造价咨询等服务</w:t>
            </w:r>
            <w:r>
              <w:rPr>
                <w:rFonts w:ascii="宋体" w:hAnsi="宋体" w:cs="宋体" w:eastAsia="宋体"/>
                <w:sz w:val="24"/>
              </w:rPr>
              <w:t>。</w:t>
            </w:r>
          </w:p>
          <w:p>
            <w:pPr>
              <w:pStyle w:val="null3"/>
              <w:jc w:val="left"/>
            </w:pPr>
            <w:r>
              <w:rPr>
                <w:rFonts w:ascii="宋体" w:hAnsi="宋体" w:cs="宋体" w:eastAsia="宋体"/>
                <w:sz w:val="24"/>
              </w:rPr>
              <w:t>二、服务要求</w:t>
            </w:r>
          </w:p>
          <w:p>
            <w:pPr>
              <w:pStyle w:val="null3"/>
              <w:jc w:val="both"/>
            </w:pPr>
            <w:r>
              <w:rPr>
                <w:rFonts w:ascii="宋体" w:hAnsi="宋体" w:cs="宋体" w:eastAsia="宋体"/>
                <w:sz w:val="24"/>
              </w:rPr>
              <w:t>按照有关国家现行的标准和规范保质保量完成工作。</w:t>
            </w:r>
          </w:p>
          <w:p>
            <w:pPr>
              <w:pStyle w:val="null3"/>
              <w:jc w:val="both"/>
            </w:pPr>
            <w:r>
              <w:rPr>
                <w:rFonts w:ascii="宋体" w:hAnsi="宋体" w:cs="宋体" w:eastAsia="宋体"/>
                <w:sz w:val="24"/>
              </w:rPr>
              <w:t>包括但不限于：</w:t>
            </w:r>
          </w:p>
          <w:p>
            <w:pPr>
              <w:pStyle w:val="null3"/>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质量、进度、投资控制；</w:t>
            </w:r>
          </w:p>
          <w:p>
            <w:pPr>
              <w:pStyle w:val="null3"/>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安全、合同、信息管理；</w:t>
            </w:r>
          </w:p>
          <w:p>
            <w:pPr>
              <w:pStyle w:val="null3"/>
              <w:jc w:val="both"/>
            </w:pPr>
            <w:r>
              <w:rPr>
                <w:rFonts w:ascii="宋体" w:hAnsi="宋体" w:cs="宋体" w:eastAsia="宋体"/>
                <w:sz w:val="24"/>
              </w:rPr>
              <w:t>（</w:t>
            </w:r>
            <w:r>
              <w:rPr>
                <w:rFonts w:ascii="宋体" w:hAnsi="宋体" w:cs="宋体" w:eastAsia="宋体"/>
                <w:sz w:val="24"/>
              </w:rPr>
              <w:t>3）协调内外部关系。</w:t>
            </w:r>
          </w:p>
          <w:p>
            <w:pPr>
              <w:pStyle w:val="null3"/>
              <w:jc w:val="both"/>
            </w:pPr>
            <w:r>
              <w:rPr>
                <w:rFonts w:ascii="宋体" w:hAnsi="宋体" w:cs="宋体" w:eastAsia="宋体"/>
                <w:sz w:val="24"/>
              </w:rPr>
              <w:t>（</w:t>
            </w:r>
            <w:r>
              <w:rPr>
                <w:rFonts w:ascii="宋体" w:hAnsi="宋体" w:cs="宋体" w:eastAsia="宋体"/>
                <w:sz w:val="24"/>
              </w:rPr>
              <w:t>4）本项目工程造价咨询相关服务；</w:t>
            </w:r>
          </w:p>
          <w:p>
            <w:pPr>
              <w:pStyle w:val="null3"/>
              <w:jc w:val="both"/>
            </w:pPr>
            <w:r>
              <w:rPr>
                <w:rFonts w:ascii="宋体" w:hAnsi="宋体" w:cs="宋体" w:eastAsia="宋体"/>
                <w:sz w:val="24"/>
              </w:rPr>
              <w:t>（</w:t>
            </w:r>
            <w:r>
              <w:rPr>
                <w:rFonts w:ascii="宋体" w:hAnsi="宋体" w:cs="宋体" w:eastAsia="宋体"/>
                <w:sz w:val="24"/>
              </w:rPr>
              <w:t>5）档案资料管理及保修期内的相关管理服务等。</w:t>
            </w:r>
          </w:p>
          <w:p>
            <w:pPr>
              <w:pStyle w:val="null3"/>
              <w:jc w:val="left"/>
            </w:pPr>
            <w:r>
              <w:rPr>
                <w:rFonts w:ascii="宋体" w:hAnsi="宋体" w:cs="宋体" w:eastAsia="宋体"/>
                <w:sz w:val="24"/>
              </w:rPr>
              <w:t>三、成果要求</w:t>
            </w:r>
          </w:p>
          <w:p>
            <w:pPr>
              <w:pStyle w:val="null3"/>
              <w:jc w:val="left"/>
            </w:pPr>
            <w:r>
              <w:rPr>
                <w:rFonts w:ascii="宋体" w:hAnsi="宋体" w:cs="宋体" w:eastAsia="宋体"/>
                <w:sz w:val="24"/>
              </w:rPr>
              <w:t>1、供应商须对全过程工程咨询所有生成的成果文件进行系统性的管理、工作档案汇总、排序、编号、装订，归档；</w:t>
            </w:r>
          </w:p>
          <w:p>
            <w:pPr>
              <w:pStyle w:val="null3"/>
              <w:jc w:val="both"/>
            </w:pPr>
            <w:r>
              <w:rPr>
                <w:rFonts w:ascii="宋体" w:hAnsi="宋体" w:cs="宋体" w:eastAsia="宋体"/>
                <w:sz w:val="24"/>
              </w:rPr>
              <w:t>2、按照采购人要求提供项目整体（包含但不限于工程监理、全过程造价咨询等方面资料）的纸质版肆份；电子版文档壹份。</w:t>
            </w:r>
          </w:p>
        </w:tc>
      </w:tr>
    </w:tbl>
    <w:p>
      <w:pPr>
        <w:pStyle w:val="null3"/>
        <w:outlineLvl w:val="2"/>
      </w:pPr>
      <w:r>
        <w:rPr>
          <w:sz w:val="28"/>
          <w:b/>
        </w:rPr>
        <w:t>3.2.3人员配置要求</w:t>
      </w:r>
    </w:p>
    <w:p>
      <w:pPr>
        <w:pStyle w:val="null3"/>
      </w:pPr>
      <w:r>
        <w:rPr/>
        <w:t>采购包1：</w:t>
      </w:r>
    </w:p>
    <w:p>
      <w:pPr>
        <w:pStyle w:val="null3"/>
      </w:pPr>
      <w:r>
        <w:rPr/>
        <w:t>满足项目需求及采购人要求。</w:t>
      </w:r>
    </w:p>
    <w:p>
      <w:pPr>
        <w:pStyle w:val="null3"/>
        <w:outlineLvl w:val="2"/>
      </w:pPr>
      <w:r>
        <w:rPr>
          <w:sz w:val="28"/>
          <w:b/>
        </w:rPr>
        <w:t>3.2.4设施设备要求</w:t>
      </w:r>
    </w:p>
    <w:p>
      <w:pPr>
        <w:pStyle w:val="null3"/>
      </w:pPr>
      <w:r>
        <w:rPr/>
        <w:t>采购包1：</w:t>
      </w:r>
    </w:p>
    <w:p>
      <w:pPr>
        <w:pStyle w:val="null3"/>
      </w:pPr>
      <w:r>
        <w:rPr/>
        <w:t>满足项目需求及采购人要求。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自合同签订之日起至工程项目缺陷责任期满之日止。</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详见服务合同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按月以建安工程完成产值占建安工程合同费用比例同比例支付咨询服务费</w:t>
      </w:r>
      <w:r>
        <w:rPr/>
        <w:t xml:space="preserve"> ，达到付款条件起 </w:t>
      </w:r>
      <w:r>
        <w:rPr/>
        <w:t>30</w:t>
      </w:r>
      <w:r>
        <w:rPr/>
        <w:t xml:space="preserve"> 日内，支付合同总金额的 </w:t>
      </w:r>
      <w:r>
        <w:rPr/>
        <w:t>80.00</w:t>
      </w:r>
      <w:r>
        <w:rPr/>
        <w:t>%。</w:t>
      </w:r>
    </w:p>
    <w:p>
      <w:pPr>
        <w:pStyle w:val="null3"/>
      </w:pPr>
      <w:r>
        <w:rPr/>
        <w:t>采购包1：</w:t>
      </w:r>
      <w:r>
        <w:rPr/>
        <w:t xml:space="preserve"> 付款条件说明： </w:t>
      </w:r>
      <w:r>
        <w:rPr/>
        <w:t>竣工验收合格且完成竣工结算审计后</w:t>
      </w:r>
      <w:r>
        <w:rPr/>
        <w:t xml:space="preserve"> ，达到付款条件起 </w:t>
      </w:r>
      <w:r>
        <w:rPr/>
        <w:t>30</w:t>
      </w:r>
      <w:r>
        <w:rPr/>
        <w:t xml:space="preserve"> 日内，支付合同总金额的 </w:t>
      </w:r>
      <w:r>
        <w:rPr/>
        <w:t>17.00</w:t>
      </w:r>
      <w:r>
        <w:rPr/>
        <w:t>%。</w:t>
      </w:r>
    </w:p>
    <w:p>
      <w:pPr>
        <w:pStyle w:val="null3"/>
      </w:pPr>
      <w:r>
        <w:rPr/>
        <w:t>采购包1：</w:t>
      </w:r>
      <w:r>
        <w:rPr/>
        <w:t xml:space="preserve"> 付款条件说明： </w:t>
      </w:r>
      <w:r>
        <w:rPr/>
        <w:t>缺陷责任期满后一个月内</w:t>
      </w:r>
      <w:r>
        <w:rPr/>
        <w:t xml:space="preserve"> ，达到付款条件起 </w:t>
      </w:r>
      <w:r>
        <w:rPr/>
        <w:t>30</w:t>
      </w:r>
      <w:r>
        <w:rPr/>
        <w:t xml:space="preserve"> 日内，支付合同总金额的 </w:t>
      </w:r>
      <w:r>
        <w:rPr/>
        <w:t>3.00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2、按合同要求提供服务或服务质量不能满足技术要求，采购人有权终止合同，并对供方违约行为进行追究，同时按《政府采购法》的有关规定进行处罚。</w:t>
      </w:r>
    </w:p>
    <w:p>
      <w:pPr>
        <w:pStyle w:val="null3"/>
        <w:outlineLvl w:val="2"/>
      </w:pPr>
      <w:r>
        <w:rPr>
          <w:sz w:val="28"/>
          <w:b/>
        </w:rPr>
        <w:t>3.4其他要求</w:t>
      </w:r>
    </w:p>
    <w:p>
      <w:pPr>
        <w:pStyle w:val="null3"/>
      </w:pPr>
      <w:r>
        <w:rPr/>
        <w:t>供应商应自响应文件递交截止时间起至评审结束保持在线状态。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须符合《政府采购促进中小企业发展管理办法》（财库〔2020〕46号）规定的中小企业参加。(提供《中小企业声明函》，式样见竞争性磋商响应文件格式)</w:t>
            </w:r>
          </w:p>
        </w:tc>
        <w:tc>
          <w:tcPr>
            <w:tcW w:type="dxa" w:w="1661"/>
          </w:tcPr>
          <w:p>
            <w:pPr>
              <w:pStyle w:val="null3"/>
            </w:pPr>
            <w:r>
              <w:rPr/>
              <w:t>资格证明文件 中小企业声明函 残疾人福利性单位声明函 监狱、戒毒企业声明函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统一社会信用代码证的营业执照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2023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提供2023年1月1日至今任意一个月已缴纳的纳税证明或完税证明（包含增值税、企业所得税、营业税至少一种）；（依法免税的供应商应提供相关文件证明）。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提供2023年1月1日至今任意一个月的社保缴费凭据或社保机构开具的社会保险参保缴费情况证明；（依法不需要缴纳社会保障资金的供应商应提供相关证明）。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提供具有履行本合同所必需的设备和专业技术能力的说明及承诺；（格式自拟，加盖供应商公章）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提供参加政府采购活动前三年内在经营活动中没有重大违法记录的书面声明。（格式自拟，加盖供应商公章）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法定代表人或负责人资格证明书</w:t>
            </w:r>
          </w:p>
        </w:tc>
        <w:tc>
          <w:tcPr>
            <w:tcW w:type="dxa" w:w="3322"/>
          </w:tcPr>
          <w:p>
            <w:pPr>
              <w:pStyle w:val="null3"/>
            </w:pPr>
            <w:r>
              <w:rPr/>
              <w:t>法定代表人或负责人参与磋商时需提供法定代表人或负责人证明书（附法定代表人或负责人身份证复印件）</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法定代表人授权委托书或负责人授权委托书</w:t>
            </w:r>
          </w:p>
        </w:tc>
        <w:tc>
          <w:tcPr>
            <w:tcW w:type="dxa" w:w="3322"/>
          </w:tcPr>
          <w:p>
            <w:pPr>
              <w:pStyle w:val="null3"/>
            </w:pPr>
            <w:r>
              <w:rPr/>
              <w:t>被授权人参与磋商时需提供法定代表人授权书或负责人授权委托书（附法定代表人或负责人及被授权人身份证复印件）</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供应商资格要求</w:t>
            </w:r>
          </w:p>
        </w:tc>
        <w:tc>
          <w:tcPr>
            <w:tcW w:type="dxa" w:w="3322"/>
          </w:tcPr>
          <w:p>
            <w:pPr>
              <w:pStyle w:val="null3"/>
            </w:pPr>
            <w:r>
              <w:rPr/>
              <w:t>须具备建设行政主管部门颁发的工程监理综合资质或房屋建筑工程监理丙级及以上资质；</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项目总负责人</w:t>
            </w:r>
          </w:p>
        </w:tc>
        <w:tc>
          <w:tcPr>
            <w:tcW w:type="dxa" w:w="3322"/>
          </w:tcPr>
          <w:p>
            <w:pPr>
              <w:pStyle w:val="null3"/>
            </w:pPr>
            <w:r>
              <w:rPr/>
              <w:t>须具备房屋建筑工程专业国家注册监理工程师执业资格或一级注册造价工程师资格并在本单位注册，项目总负责人最多可同时担任两个项目总监理工程师，但须出具承诺保证书；（本项目全过程工程咨询服务总负责人与监理项目负责人或造价咨询项目负责人可为同一人，但须同时满足其资格要求）</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监理项目负责人</w:t>
            </w:r>
          </w:p>
        </w:tc>
        <w:tc>
          <w:tcPr>
            <w:tcW w:type="dxa" w:w="3322"/>
          </w:tcPr>
          <w:p>
            <w:pPr>
              <w:pStyle w:val="null3"/>
            </w:pPr>
            <w:r>
              <w:rPr/>
              <w:t>须具备房屋建筑工程专业国家注册监理工程师执业资格并在本单位注册，监理负责人最多可同时担任两个项目总监理工程师，但须出具承诺保证书；</w:t>
            </w:r>
          </w:p>
        </w:tc>
        <w:tc>
          <w:tcPr>
            <w:tcW w:type="dxa" w:w="1661"/>
          </w:tcPr>
          <w:p>
            <w:pPr>
              <w:pStyle w:val="null3"/>
            </w:pPr>
            <w:r>
              <w:rPr/>
              <w:t>资格证明文件</w:t>
            </w:r>
          </w:p>
        </w:tc>
      </w:tr>
      <w:tr>
        <w:tc>
          <w:tcPr>
            <w:tcW w:type="dxa" w:w="831"/>
          </w:tcPr>
          <w:p>
            <w:pPr>
              <w:pStyle w:val="null3"/>
            </w:pPr>
            <w:r>
              <w:rPr/>
              <w:t>12</w:t>
            </w:r>
          </w:p>
        </w:tc>
        <w:tc>
          <w:tcPr>
            <w:tcW w:type="dxa" w:w="2492"/>
          </w:tcPr>
          <w:p>
            <w:pPr>
              <w:pStyle w:val="null3"/>
            </w:pPr>
            <w:r>
              <w:rPr/>
              <w:t>造价咨询项目负责人</w:t>
            </w:r>
          </w:p>
        </w:tc>
        <w:tc>
          <w:tcPr>
            <w:tcW w:type="dxa" w:w="3322"/>
          </w:tcPr>
          <w:p>
            <w:pPr>
              <w:pStyle w:val="null3"/>
            </w:pPr>
            <w:r>
              <w:rPr/>
              <w:t>须具备一级注册造价工程师资格并在本单位注册；</w:t>
            </w:r>
          </w:p>
        </w:tc>
        <w:tc>
          <w:tcPr>
            <w:tcW w:type="dxa" w:w="1661"/>
          </w:tcPr>
          <w:p>
            <w:pPr>
              <w:pStyle w:val="null3"/>
            </w:pPr>
            <w:r>
              <w:rPr/>
              <w:t>资格证明文件</w:t>
            </w:r>
          </w:p>
        </w:tc>
      </w:tr>
      <w:tr>
        <w:tc>
          <w:tcPr>
            <w:tcW w:type="dxa" w:w="831"/>
          </w:tcPr>
          <w:p>
            <w:pPr>
              <w:pStyle w:val="null3"/>
            </w:pPr>
            <w:r>
              <w:rPr/>
              <w:t>13</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t>资格证明文件</w:t>
            </w:r>
          </w:p>
        </w:tc>
      </w:tr>
      <w:tr>
        <w:tc>
          <w:tcPr>
            <w:tcW w:type="dxa" w:w="831"/>
          </w:tcPr>
          <w:p>
            <w:pPr>
              <w:pStyle w:val="null3"/>
            </w:pPr>
            <w:r>
              <w:rPr/>
              <w:t>14</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t>资格证明文件</w:t>
            </w:r>
          </w:p>
        </w:tc>
      </w:tr>
      <w:tr>
        <w:tc>
          <w:tcPr>
            <w:tcW w:type="dxa" w:w="831"/>
          </w:tcPr>
          <w:p>
            <w:pPr>
              <w:pStyle w:val="null3"/>
            </w:pPr>
            <w:r>
              <w:rPr/>
              <w:t>15</w:t>
            </w:r>
          </w:p>
        </w:tc>
        <w:tc>
          <w:tcPr>
            <w:tcW w:type="dxa" w:w="2492"/>
          </w:tcPr>
          <w:p>
            <w:pPr>
              <w:pStyle w:val="null3"/>
            </w:pPr>
            <w:r>
              <w:rPr/>
              <w:t>本项目专门面向中小企业采购</w:t>
            </w:r>
          </w:p>
        </w:tc>
        <w:tc>
          <w:tcPr>
            <w:tcW w:type="dxa" w:w="3322"/>
          </w:tcPr>
          <w:p>
            <w:pPr>
              <w:pStyle w:val="null3"/>
            </w:pPr>
            <w:r>
              <w:rPr/>
              <w:t>须符合《政府采购促进中小企业发展管理办法》（财库〔2020〕46号）规定的中小企业参加。(提供《中小企业声明函》，式样见竞争性磋商响应文件格式)</w:t>
            </w:r>
          </w:p>
        </w:tc>
        <w:tc>
          <w:tcPr>
            <w:tcW w:type="dxa" w:w="1661"/>
          </w:tcPr>
          <w:p>
            <w:pPr>
              <w:pStyle w:val="null3"/>
            </w:pPr>
            <w:r>
              <w:rPr/>
              <w:t>资格证明文件 残疾人福利性单位声明函 中小企业声明函 监狱、戒毒企业声明函</w:t>
            </w:r>
          </w:p>
        </w:tc>
      </w:tr>
      <w:tr>
        <w:tc>
          <w:tcPr>
            <w:tcW w:type="dxa" w:w="831"/>
          </w:tcPr>
          <w:p>
            <w:pPr>
              <w:pStyle w:val="null3"/>
            </w:pPr>
            <w:r>
              <w:rPr/>
              <w:t>16</w:t>
            </w:r>
          </w:p>
        </w:tc>
        <w:tc>
          <w:tcPr>
            <w:tcW w:type="dxa" w:w="2492"/>
          </w:tcPr>
          <w:p>
            <w:pPr>
              <w:pStyle w:val="null3"/>
            </w:pPr>
            <w:r>
              <w:rPr/>
              <w:t>本项目不接受联合体磋商</w:t>
            </w:r>
          </w:p>
        </w:tc>
        <w:tc>
          <w:tcPr>
            <w:tcW w:type="dxa" w:w="3322"/>
          </w:tcPr>
          <w:p>
            <w:pPr>
              <w:pStyle w:val="null3"/>
            </w:pPr>
            <w:r>
              <w:rPr/>
              <w:t>本项目不接受联合体磋商。（提供书面承诺函，格式自拟加盖供应商公章）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服务条款响应偏离表 分项报价表 标的清单 竞争性磋商响应文件封面 报价表 供应商承诺书 响应函 商务条款响应偏离表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1.全过程工程咨询服务的整体构思及实施方案：实施方案全面、科学合理、规范，可操作性强，计6分；实施方案较合理、较规范，具有一定操作性，计4分；服务方案简略，操作性欠佳，计2分；实施方案缺失，操作性差，计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供应商认为有必要说明的事宜</w:t>
            </w:r>
          </w:p>
        </w:tc>
      </w:tr>
      <w:tr>
        <w:tc>
          <w:tcPr>
            <w:tcW w:type="dxa" w:w="831"/>
            <w:vMerge/>
          </w:tcPr>
          <w:p/>
        </w:tc>
        <w:tc>
          <w:tcPr>
            <w:tcW w:type="dxa" w:w="1661"/>
          </w:tcPr>
          <w:p>
            <w:pPr>
              <w:pStyle w:val="null3"/>
            </w:pPr>
            <w:r>
              <w:rPr/>
              <w:t>整体服务方案</w:t>
            </w:r>
          </w:p>
        </w:tc>
        <w:tc>
          <w:tcPr>
            <w:tcW w:type="dxa" w:w="2492"/>
          </w:tcPr>
          <w:p>
            <w:pPr>
              <w:pStyle w:val="null3"/>
            </w:pPr>
            <w:r>
              <w:rPr/>
              <w:t>2.资料归档的完整性、准确性保障措施：资料管理制度完善，保障措施详细，责任清晰，可靠性强，计4分；资料管理制度较完善，保障措施较详细，责任较清晰，可靠性较强，计3分；资料管理制度粗略，保障措施简单，责任不清晰，可靠性一般，计2分；资料管理制度缺失，保障措施空泛，责任不清晰，可靠性差，计1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监理工作服务方案</w:t>
            </w:r>
          </w:p>
        </w:tc>
        <w:tc>
          <w:tcPr>
            <w:tcW w:type="dxa" w:w="2492"/>
          </w:tcPr>
          <w:p>
            <w:pPr>
              <w:pStyle w:val="null3"/>
            </w:pPr>
            <w:r>
              <w:rPr/>
              <w:t>1.质量控制措施：措施科学合理、贴合项目实际情况、细节明确、针对性强，计6分；措施较科学合理、细节较明确、针对性较强，计4分；措施一般、各环节配合一般、针对性一般，计3分；措施简单、针对性差，计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监理工作服务方案</w:t>
            </w:r>
          </w:p>
        </w:tc>
        <w:tc>
          <w:tcPr>
            <w:tcW w:type="dxa" w:w="2492"/>
          </w:tcPr>
          <w:p>
            <w:pPr>
              <w:pStyle w:val="null3"/>
            </w:pPr>
            <w:r>
              <w:rPr/>
              <w:t>2.进度控制措施：措施科学合理、细节明确、可操作性强，计6分；措施较科学合理、细节较明确、针对性较强，计4分；措施一般、各环节配合一般、针对性一般，计3分；措施简单、针对性差，计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监理工作服务方案</w:t>
            </w:r>
          </w:p>
        </w:tc>
        <w:tc>
          <w:tcPr>
            <w:tcW w:type="dxa" w:w="2492"/>
          </w:tcPr>
          <w:p>
            <w:pPr>
              <w:pStyle w:val="null3"/>
            </w:pPr>
            <w:r>
              <w:rPr/>
              <w:t>3.投资控制措施：措施全面、科学合理、针对性强，计8分；措施较科学合理、细节较明确、针对性较强，计6分；措施一般、各环节配合一般、针对性一般，计3分；措施简单、针对性差，计1分；未提供不计分。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监理工作服务方案</w:t>
            </w:r>
          </w:p>
        </w:tc>
        <w:tc>
          <w:tcPr>
            <w:tcW w:type="dxa" w:w="2492"/>
          </w:tcPr>
          <w:p>
            <w:pPr>
              <w:pStyle w:val="null3"/>
            </w:pPr>
            <w:r>
              <w:rPr/>
              <w:t>4.安全生产管理：安全生产管理措施全面、科学合理，管理职责明确，实施框架清晰合理，计8分；管理措施较科学合理，实施框架较清晰，计6分；管理措施一般，实施框架不清晰，计2分；管理措施差，无实施框架，计1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监理工作服务方案</w:t>
            </w:r>
          </w:p>
        </w:tc>
        <w:tc>
          <w:tcPr>
            <w:tcW w:type="dxa" w:w="2492"/>
          </w:tcPr>
          <w:p>
            <w:pPr>
              <w:pStyle w:val="null3"/>
            </w:pPr>
            <w:r>
              <w:rPr/>
              <w:t>5.合同及信息管理、组织协调措施：措施科学合理、细节明确、可操作性强，计4分；措施较科学合理、细节较明确、针对性较强，计3分；措施一般、各环节配合一般、针对性一般，计2分；措施简单、针对性差，计1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造价工作服务方案</w:t>
            </w:r>
          </w:p>
        </w:tc>
        <w:tc>
          <w:tcPr>
            <w:tcW w:type="dxa" w:w="2492"/>
          </w:tcPr>
          <w:p>
            <w:pPr>
              <w:pStyle w:val="null3"/>
            </w:pPr>
            <w:r>
              <w:rPr/>
              <w:t>1.全过程造价咨询实施方案：（包括但不限于主要工作内容、工作流程等）实施方案全面、科学合理、规范，可操作性强，计6分；实施方案较合理、较规范，具有一定操作性，计4分；服务方案简略，操作性欠佳，计2分；实施方案缺失，操作性差，计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造价工作服务方案</w:t>
            </w:r>
          </w:p>
        </w:tc>
        <w:tc>
          <w:tcPr>
            <w:tcW w:type="dxa" w:w="2492"/>
          </w:tcPr>
          <w:p>
            <w:pPr>
              <w:pStyle w:val="null3"/>
            </w:pPr>
            <w:r>
              <w:rPr/>
              <w:t>2.全过程造价咨询质量保证措施、进度保证措施：保证措施科学合理、细节明确、针对性强，计6分；保证措施较科学合理、细节较明确、针对性较强，计4分；保证措施一般、各环节配合一般、针对性一般，计2分；保证措施简单、针对性差，计1分；未提供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造价工作服务方案</w:t>
            </w:r>
          </w:p>
        </w:tc>
        <w:tc>
          <w:tcPr>
            <w:tcW w:type="dxa" w:w="2492"/>
          </w:tcPr>
          <w:p>
            <w:pPr>
              <w:pStyle w:val="null3"/>
            </w:pPr>
            <w:r>
              <w:rPr/>
              <w:t>3.保证造价咨询成果文件编制的规范性和准确性的保证措施：措施严谨科学、审核制度完善、全面详细，完全符合本次采购需求，计5分；措施较科学、审核制度较完善、较全面详细，较符合本次采购需求，计3分；措施一般、审核制度一般，基本符合本次采购需求，计2分；措施空泛、审核制度差，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廉洁承诺及保密措施</w:t>
            </w:r>
          </w:p>
        </w:tc>
        <w:tc>
          <w:tcPr>
            <w:tcW w:type="dxa" w:w="2492"/>
          </w:tcPr>
          <w:p>
            <w:pPr>
              <w:pStyle w:val="null3"/>
            </w:pPr>
            <w:r>
              <w:rPr/>
              <w:t>廉洁承诺及保密措施：内容详细、全面的计2分；内容简单一般的计1分；未提供不计分。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拟派项目组人员</w:t>
            </w:r>
          </w:p>
        </w:tc>
        <w:tc>
          <w:tcPr>
            <w:tcW w:type="dxa" w:w="2492"/>
          </w:tcPr>
          <w:p>
            <w:pPr>
              <w:pStyle w:val="null3"/>
            </w:pPr>
            <w:r>
              <w:rPr/>
              <w:t>1.拟派项目总负责人具有中级职称得1分，高级职称得2分，其余不得分。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拟派项目组人员</w:t>
            </w:r>
          </w:p>
        </w:tc>
      </w:tr>
      <w:tr>
        <w:tc>
          <w:tcPr>
            <w:tcW w:type="dxa" w:w="831"/>
            <w:vMerge/>
          </w:tcPr>
          <w:p/>
        </w:tc>
        <w:tc>
          <w:tcPr>
            <w:tcW w:type="dxa" w:w="1661"/>
          </w:tcPr>
          <w:p>
            <w:pPr>
              <w:pStyle w:val="null3"/>
            </w:pPr>
            <w:r>
              <w:rPr/>
              <w:t>拟派项目组人员</w:t>
            </w:r>
          </w:p>
        </w:tc>
        <w:tc>
          <w:tcPr>
            <w:tcW w:type="dxa" w:w="2492"/>
          </w:tcPr>
          <w:p>
            <w:pPr>
              <w:pStyle w:val="null3"/>
            </w:pPr>
            <w:r>
              <w:rPr/>
              <w:t>2.拟派项目总负责人近年（2021年1月1日至今，以合同签订时间或中标通知书时间为准）每有一个以项目负责人身份参与的类似业绩得2分，最高得2分。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拟派项目组人员</w:t>
            </w:r>
          </w:p>
        </w:tc>
      </w:tr>
      <w:tr>
        <w:tc>
          <w:tcPr>
            <w:tcW w:type="dxa" w:w="831"/>
            <w:vMerge/>
          </w:tcPr>
          <w:p/>
        </w:tc>
        <w:tc>
          <w:tcPr>
            <w:tcW w:type="dxa" w:w="1661"/>
          </w:tcPr>
          <w:p>
            <w:pPr>
              <w:pStyle w:val="null3"/>
            </w:pPr>
            <w:r>
              <w:rPr/>
              <w:t>拟派项目组人员</w:t>
            </w:r>
          </w:p>
        </w:tc>
        <w:tc>
          <w:tcPr>
            <w:tcW w:type="dxa" w:w="2492"/>
          </w:tcPr>
          <w:p>
            <w:pPr>
              <w:pStyle w:val="null3"/>
            </w:pPr>
            <w:r>
              <w:rPr/>
              <w:t>3.项目组人员岗位分工及职责划分明确，项目经验丰富，计8分；项目组人员岗位分工及职责划分较明确，项目经验较丰富，计6分；项目组人员岗位分工及职责划分基本明确，缺少项目经验，计4分；项目组人员岗位分工及职责划分不明确，缺失项目经验丰富，计2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拟派项目组人员</w:t>
            </w:r>
          </w:p>
        </w:tc>
      </w:tr>
      <w:tr>
        <w:tc>
          <w:tcPr>
            <w:tcW w:type="dxa" w:w="831"/>
            <w:vMerge/>
          </w:tcPr>
          <w:p/>
        </w:tc>
        <w:tc>
          <w:tcPr>
            <w:tcW w:type="dxa" w:w="1661"/>
          </w:tcPr>
          <w:p>
            <w:pPr>
              <w:pStyle w:val="null3"/>
            </w:pPr>
            <w:r>
              <w:rPr/>
              <w:t>业绩</w:t>
            </w:r>
          </w:p>
        </w:tc>
        <w:tc>
          <w:tcPr>
            <w:tcW w:type="dxa" w:w="2492"/>
          </w:tcPr>
          <w:p>
            <w:pPr>
              <w:pStyle w:val="null3"/>
            </w:pPr>
            <w:r>
              <w:rPr/>
              <w:t>以合同复印件形式提供2021年1月1日至今类似项目业绩，每份计2分，计满6分为止； 注：供应商需提供服务合同（含首页、服务内容、签字盖章页）复印件，否则业绩不予认可。</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2021年1月1日至今类似项目业绩</w:t>
            </w:r>
          </w:p>
        </w:tc>
      </w:tr>
      <w:tr>
        <w:tc>
          <w:tcPr>
            <w:tcW w:type="dxa" w:w="831"/>
            <w:vMerge/>
          </w:tcPr>
          <w:p/>
        </w:tc>
        <w:tc>
          <w:tcPr>
            <w:tcW w:type="dxa" w:w="1661"/>
          </w:tcPr>
          <w:p>
            <w:pPr>
              <w:pStyle w:val="null3"/>
            </w:pPr>
            <w:r>
              <w:rPr/>
              <w:t>重点难点分析</w:t>
            </w:r>
          </w:p>
        </w:tc>
        <w:tc>
          <w:tcPr>
            <w:tcW w:type="dxa" w:w="2492"/>
          </w:tcPr>
          <w:p>
            <w:pPr>
              <w:pStyle w:val="null3"/>
            </w:pPr>
            <w:r>
              <w:rPr/>
              <w:t>对本项目需解决的重点、难点问题的认识与分析，以及对本项目的目标及定位。 能够充分掌握并解决本项目需解决的重点难点问题、方案目标与定位认识准确、能准确提供合理有效的解决思路和服务方案，计3分； 基本掌握并解决本项目的重点难点问题、服务方案目标与定位认识比较准确、提供的解决思路和服务方案部分满足该项目需求，计2分；对本项目的重点难点问题分析不到位、服务方案目标与定位认识不准确、未能提供合理有效的解决思路或方案计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重点难点分析</w:t>
            </w:r>
          </w:p>
        </w:tc>
      </w:tr>
      <w:tr>
        <w:tc>
          <w:tcPr>
            <w:tcW w:type="dxa" w:w="831"/>
            <w:vMerge/>
          </w:tcPr>
          <w:p/>
        </w:tc>
        <w:tc>
          <w:tcPr>
            <w:tcW w:type="dxa" w:w="1661"/>
          </w:tcPr>
          <w:p>
            <w:pPr>
              <w:pStyle w:val="null3"/>
            </w:pPr>
            <w:r>
              <w:rPr/>
              <w:t>合理化建议</w:t>
            </w:r>
          </w:p>
        </w:tc>
        <w:tc>
          <w:tcPr>
            <w:tcW w:type="dxa" w:w="2492"/>
          </w:tcPr>
          <w:p>
            <w:pPr>
              <w:pStyle w:val="null3"/>
            </w:pPr>
            <w:r>
              <w:rPr/>
              <w:t>提供的合理化建议和意见科学合理、安全可行，完全满足项目要求，计3分；提供的合理化建议和意见有一定的可行性，基本能满足项目要求的，计2分；提供的合理化建议和意见有较多欠缺的，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合理化建议</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详见附件：竞争性磋商响应文件封面</w:t>
      </w:r>
    </w:p>
    <w:p>
      <w:pPr>
        <w:pStyle w:val="null3"/>
        <w:ind w:firstLine="960"/>
      </w:pPr>
      <w:r>
        <w:rPr/>
        <w:t>详见附件：分项报价表</w:t>
      </w:r>
    </w:p>
    <w:p>
      <w:pPr>
        <w:pStyle w:val="null3"/>
        <w:ind w:firstLine="960"/>
      </w:pPr>
      <w:r>
        <w:rPr/>
        <w:t>详见附件：商务条款响应偏离表</w:t>
      </w:r>
    </w:p>
    <w:p>
      <w:pPr>
        <w:pStyle w:val="null3"/>
        <w:ind w:firstLine="960"/>
      </w:pPr>
      <w:r>
        <w:rPr/>
        <w:t>详见附件：服务条款响应偏离表</w:t>
      </w:r>
    </w:p>
    <w:p>
      <w:pPr>
        <w:pStyle w:val="null3"/>
        <w:ind w:firstLine="960"/>
      </w:pPr>
      <w:r>
        <w:rPr/>
        <w:t>详见附件：资格证明文件</w:t>
      </w:r>
    </w:p>
    <w:p>
      <w:pPr>
        <w:pStyle w:val="null3"/>
        <w:ind w:firstLine="960"/>
      </w:pPr>
      <w:r>
        <w:rPr/>
        <w:t>详见附件：服务方案</w:t>
      </w:r>
    </w:p>
    <w:p>
      <w:pPr>
        <w:pStyle w:val="null3"/>
        <w:ind w:firstLine="960"/>
      </w:pPr>
      <w:r>
        <w:rPr/>
        <w:t>详见附件：拟派项目组人员</w:t>
      </w:r>
    </w:p>
    <w:p>
      <w:pPr>
        <w:pStyle w:val="null3"/>
        <w:ind w:firstLine="960"/>
      </w:pPr>
      <w:r>
        <w:rPr/>
        <w:t>详见附件：2021年1月1日至今类似项目业绩</w:t>
      </w:r>
    </w:p>
    <w:p>
      <w:pPr>
        <w:pStyle w:val="null3"/>
        <w:ind w:firstLine="960"/>
      </w:pPr>
      <w:r>
        <w:rPr/>
        <w:t>详见附件：重点难点分析</w:t>
      </w:r>
    </w:p>
    <w:p>
      <w:pPr>
        <w:pStyle w:val="null3"/>
        <w:ind w:firstLine="960"/>
      </w:pPr>
      <w:r>
        <w:rPr/>
        <w:t>详见附件：合理化建议</w:t>
      </w:r>
    </w:p>
    <w:p>
      <w:pPr>
        <w:pStyle w:val="null3"/>
        <w:ind w:firstLine="960"/>
      </w:pPr>
      <w:r>
        <w:rPr/>
        <w:t>详见附件：供应商认为有必要说明的事宜</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详见附件：监狱、戒毒企业声明函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