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3BBD171">
      <w:pPr>
        <w:spacing w:line="360" w:lineRule="auto"/>
        <w:jc w:val="center"/>
        <w:rPr>
          <w:rFonts w:hint="eastAsia" w:ascii="楷体" w:hAnsi="楷体" w:eastAsia="楷体" w:cs="楷体"/>
          <w:b/>
          <w:bCs/>
          <w:color w:val="000000"/>
          <w:sz w:val="48"/>
          <w:szCs w:val="48"/>
        </w:rPr>
      </w:pPr>
    </w:p>
    <w:p w14:paraId="35E16AC7">
      <w:pPr>
        <w:pStyle w:val="7"/>
        <w:rPr>
          <w:rFonts w:hint="eastAsia"/>
        </w:rPr>
      </w:pPr>
    </w:p>
    <w:p w14:paraId="5EBB1891">
      <w:pPr>
        <w:spacing w:line="360" w:lineRule="auto"/>
        <w:jc w:val="center"/>
        <w:rPr>
          <w:rFonts w:hint="eastAsia" w:ascii="楷体" w:hAnsi="楷体" w:eastAsia="楷体" w:cs="楷体"/>
          <w:b/>
          <w:bCs/>
          <w:color w:val="000000"/>
          <w:sz w:val="48"/>
          <w:szCs w:val="48"/>
        </w:rPr>
      </w:pPr>
    </w:p>
    <w:p w14:paraId="7EC8ED12">
      <w:pPr>
        <w:jc w:val="center"/>
        <w:rPr>
          <w:rFonts w:hint="eastAsia" w:hAnsi="宋体" w:cs="宋体"/>
          <w:b/>
          <w:bCs/>
          <w:sz w:val="44"/>
          <w:szCs w:val="44"/>
          <w:highlight w:val="yellow"/>
        </w:rPr>
      </w:pPr>
      <w:r>
        <w:rPr>
          <w:rFonts w:hint="eastAsia" w:hAnsi="宋体" w:cs="宋体"/>
          <w:b/>
          <w:bCs/>
          <w:color w:val="000000"/>
          <w:sz w:val="48"/>
          <w:szCs w:val="48"/>
        </w:rPr>
        <w:t>西安市常宁新区开发建设管理委员会后勤物业服务采购项目合同</w:t>
      </w:r>
    </w:p>
    <w:p w14:paraId="78CA8664">
      <w:pPr>
        <w:rPr>
          <w:rFonts w:hint="eastAsia" w:ascii="楷体" w:hAnsi="楷体" w:eastAsia="楷体" w:cs="楷体"/>
        </w:rPr>
      </w:pPr>
    </w:p>
    <w:p w14:paraId="0C32FCDE">
      <w:pPr>
        <w:rPr>
          <w:rFonts w:hint="eastAsia" w:ascii="楷体" w:hAnsi="楷体" w:eastAsia="楷体" w:cs="楷体"/>
        </w:rPr>
      </w:pPr>
    </w:p>
    <w:p w14:paraId="5928DA9B">
      <w:pPr>
        <w:rPr>
          <w:rFonts w:hint="eastAsia" w:ascii="楷体" w:hAnsi="楷体" w:eastAsia="楷体" w:cs="楷体"/>
        </w:rPr>
      </w:pPr>
    </w:p>
    <w:p w14:paraId="73CC341E">
      <w:pPr>
        <w:rPr>
          <w:rFonts w:hint="eastAsia" w:ascii="楷体" w:hAnsi="楷体" w:eastAsia="楷体" w:cs="楷体"/>
        </w:rPr>
      </w:pPr>
    </w:p>
    <w:p w14:paraId="68CB0FCB">
      <w:pPr>
        <w:rPr>
          <w:rFonts w:hint="eastAsia" w:ascii="楷体" w:hAnsi="楷体" w:eastAsia="楷体" w:cs="楷体"/>
        </w:rPr>
      </w:pPr>
    </w:p>
    <w:p w14:paraId="61BE3AAB">
      <w:pPr>
        <w:pStyle w:val="7"/>
        <w:rPr>
          <w:rFonts w:hint="eastAsia"/>
        </w:rPr>
      </w:pPr>
    </w:p>
    <w:p w14:paraId="37D2B372"/>
    <w:p w14:paraId="461323E9">
      <w:pPr>
        <w:pStyle w:val="7"/>
        <w:rPr>
          <w:rFonts w:hint="eastAsia"/>
        </w:rPr>
      </w:pPr>
    </w:p>
    <w:p w14:paraId="275C4040"/>
    <w:p w14:paraId="6EFCA438">
      <w:pPr>
        <w:pStyle w:val="7"/>
        <w:rPr>
          <w:rFonts w:hint="eastAsia"/>
        </w:rPr>
      </w:pPr>
    </w:p>
    <w:p w14:paraId="07F46EFE">
      <w:pPr>
        <w:pStyle w:val="7"/>
        <w:jc w:val="center"/>
        <w:rPr>
          <w:rFonts w:hint="eastAsia"/>
        </w:rPr>
      </w:pPr>
    </w:p>
    <w:p w14:paraId="6421A142"/>
    <w:p w14:paraId="5C0D6E2B">
      <w:pPr>
        <w:pStyle w:val="7"/>
        <w:rPr>
          <w:rFonts w:hint="eastAsia"/>
        </w:rPr>
      </w:pPr>
    </w:p>
    <w:p w14:paraId="0D20A29F"/>
    <w:p w14:paraId="42D2C4F7">
      <w:pPr>
        <w:pStyle w:val="7"/>
        <w:rPr>
          <w:rFonts w:hint="eastAsia"/>
        </w:rPr>
      </w:pPr>
    </w:p>
    <w:p w14:paraId="481B4348"/>
    <w:p w14:paraId="63B3A491">
      <w:pPr>
        <w:adjustRightInd w:val="0"/>
        <w:snapToGrid w:val="0"/>
        <w:spacing w:line="408" w:lineRule="auto"/>
        <w:ind w:firstLine="964" w:firstLineChars="300"/>
        <w:rPr>
          <w:rFonts w:hint="eastAsia" w:hAnsi="宋体" w:cs="宋体"/>
          <w:b/>
          <w:sz w:val="32"/>
          <w:szCs w:val="32"/>
        </w:rPr>
      </w:pPr>
      <w:r>
        <w:rPr>
          <w:rFonts w:hint="eastAsia" w:hAnsi="宋体" w:cs="宋体"/>
          <w:b/>
          <w:sz w:val="32"/>
          <w:szCs w:val="32"/>
        </w:rPr>
        <w:t>采购人：</w:t>
      </w:r>
      <w:r>
        <w:rPr>
          <w:rFonts w:hint="eastAsia" w:hAnsi="宋体" w:cs="宋体"/>
          <w:b/>
          <w:sz w:val="32"/>
          <w:szCs w:val="32"/>
          <w:u w:val="single"/>
        </w:rPr>
        <w:t xml:space="preserve">                         </w:t>
      </w:r>
      <w:r>
        <w:rPr>
          <w:rFonts w:hint="eastAsia" w:hAnsi="宋体" w:cs="宋体"/>
          <w:b/>
          <w:sz w:val="32"/>
          <w:szCs w:val="32"/>
        </w:rPr>
        <w:t xml:space="preserve"> </w:t>
      </w:r>
    </w:p>
    <w:p w14:paraId="03704B48">
      <w:pPr>
        <w:adjustRightInd w:val="0"/>
        <w:snapToGrid w:val="0"/>
        <w:spacing w:line="408" w:lineRule="auto"/>
        <w:ind w:firstLine="964" w:firstLineChars="300"/>
        <w:rPr>
          <w:rFonts w:hint="eastAsia" w:hAnsi="宋体" w:cs="宋体"/>
          <w:b/>
          <w:sz w:val="32"/>
          <w:szCs w:val="32"/>
          <w:u w:val="single"/>
        </w:rPr>
      </w:pPr>
      <w:r>
        <w:rPr>
          <w:rFonts w:hint="eastAsia" w:hAnsi="宋体" w:cs="宋体"/>
          <w:b/>
          <w:sz w:val="32"/>
          <w:szCs w:val="32"/>
        </w:rPr>
        <w:t>供应商：</w:t>
      </w:r>
      <w:r>
        <w:rPr>
          <w:rFonts w:hint="eastAsia" w:hAnsi="宋体" w:cs="宋体"/>
          <w:b/>
          <w:sz w:val="32"/>
          <w:szCs w:val="32"/>
          <w:u w:val="single"/>
        </w:rPr>
        <w:t xml:space="preserve">                         </w:t>
      </w:r>
    </w:p>
    <w:p w14:paraId="75D218FA">
      <w:pPr>
        <w:pStyle w:val="7"/>
        <w:rPr>
          <w:rFonts w:hint="eastAsia"/>
        </w:rPr>
      </w:pPr>
    </w:p>
    <w:p w14:paraId="6B7F32CF">
      <w:pPr>
        <w:pStyle w:val="7"/>
        <w:rPr>
          <w:rFonts w:hint="eastAsia"/>
        </w:rPr>
      </w:pPr>
    </w:p>
    <w:p w14:paraId="3E3CBDDB">
      <w:pPr>
        <w:spacing w:before="156" w:beforeLines="50" w:line="408" w:lineRule="auto"/>
        <w:jc w:val="center"/>
        <w:rPr>
          <w:rFonts w:hint="eastAsia" w:hAnsi="宋体" w:cs="宋体"/>
          <w:b/>
          <w:bCs/>
          <w:sz w:val="36"/>
          <w:szCs w:val="36"/>
        </w:rPr>
      </w:pPr>
      <w:r>
        <w:rPr>
          <w:rFonts w:hint="eastAsia" w:ascii="楷体" w:hAnsi="楷体" w:eastAsia="楷体" w:cs="楷体"/>
          <w:bCs/>
          <w:sz w:val="48"/>
          <w:szCs w:val="48"/>
        </w:rPr>
        <w:br w:type="page"/>
      </w:r>
      <w:r>
        <w:rPr>
          <w:rFonts w:hint="eastAsia" w:hAnsi="宋体" w:cs="宋体"/>
          <w:b/>
          <w:bCs/>
          <w:sz w:val="36"/>
          <w:szCs w:val="36"/>
        </w:rPr>
        <w:t>第一部分  协议书</w:t>
      </w:r>
    </w:p>
    <w:p w14:paraId="48FB5724">
      <w:pPr>
        <w:adjustRightInd w:val="0"/>
        <w:snapToGrid w:val="0"/>
        <w:spacing w:line="408" w:lineRule="auto"/>
        <w:ind w:firstLine="422" w:firstLineChars="200"/>
        <w:rPr>
          <w:rFonts w:hint="eastAsia" w:hAnsi="宋体" w:cs="宋体"/>
          <w:b/>
          <w:szCs w:val="24"/>
        </w:rPr>
      </w:pPr>
      <w:r>
        <w:rPr>
          <w:rFonts w:hint="eastAsia" w:hAnsi="宋体" w:cs="宋体"/>
          <w:b/>
          <w:szCs w:val="24"/>
        </w:rPr>
        <w:t>采购人（全称）：</w:t>
      </w:r>
      <w:r>
        <w:rPr>
          <w:rFonts w:hint="eastAsia" w:hAnsi="宋体" w:cs="宋体"/>
          <w:b/>
          <w:szCs w:val="24"/>
          <w:u w:val="single"/>
        </w:rPr>
        <w:t xml:space="preserve">                         </w:t>
      </w:r>
      <w:r>
        <w:rPr>
          <w:rFonts w:hint="eastAsia" w:hAnsi="宋体" w:cs="宋体"/>
          <w:b/>
          <w:szCs w:val="24"/>
        </w:rPr>
        <w:t xml:space="preserve"> </w:t>
      </w:r>
    </w:p>
    <w:p w14:paraId="4C7EB971">
      <w:pPr>
        <w:adjustRightInd w:val="0"/>
        <w:snapToGrid w:val="0"/>
        <w:spacing w:line="408" w:lineRule="auto"/>
        <w:ind w:firstLine="422" w:firstLineChars="200"/>
        <w:rPr>
          <w:rFonts w:hint="eastAsia" w:hAnsi="宋体" w:cs="宋体"/>
          <w:szCs w:val="24"/>
          <w:u w:val="single"/>
        </w:rPr>
      </w:pPr>
      <w:r>
        <w:rPr>
          <w:rFonts w:hint="eastAsia" w:hAnsi="宋体" w:cs="宋体"/>
          <w:b/>
          <w:szCs w:val="24"/>
        </w:rPr>
        <w:t>供应商（全称）：</w:t>
      </w:r>
      <w:r>
        <w:rPr>
          <w:rFonts w:hint="eastAsia" w:hAnsi="宋体" w:cs="宋体"/>
          <w:b/>
          <w:szCs w:val="24"/>
          <w:u w:val="single"/>
        </w:rPr>
        <w:t xml:space="preserve">                         </w:t>
      </w:r>
    </w:p>
    <w:p w14:paraId="3DD151F9">
      <w:pPr>
        <w:adjustRightInd w:val="0"/>
        <w:snapToGrid w:val="0"/>
        <w:spacing w:line="408" w:lineRule="auto"/>
        <w:ind w:firstLine="420" w:firstLineChars="200"/>
        <w:rPr>
          <w:rFonts w:hint="eastAsia" w:hAnsi="宋体" w:cs="宋体"/>
          <w:szCs w:val="24"/>
          <w:u w:val="single"/>
        </w:rPr>
      </w:pPr>
      <w:r>
        <w:rPr>
          <w:rFonts w:hint="eastAsia" w:hAnsi="宋体" w:cs="宋体"/>
          <w:szCs w:val="24"/>
        </w:rPr>
        <w:t>根据《中华人民共和国民法典》及其他有关法律、法规，遵循平等、自愿、公平和诚信的原则，双方就下述项目范围与相关服务事项协商一致，订立本合同。</w:t>
      </w:r>
    </w:p>
    <w:p w14:paraId="2F9BB951">
      <w:pPr>
        <w:spacing w:line="408" w:lineRule="auto"/>
        <w:rPr>
          <w:rFonts w:hint="eastAsia" w:hAnsi="宋体" w:cs="宋体"/>
          <w:b/>
          <w:szCs w:val="24"/>
        </w:rPr>
      </w:pPr>
      <w:r>
        <w:rPr>
          <w:rFonts w:hint="eastAsia" w:hAnsi="宋体" w:cs="宋体"/>
          <w:b/>
          <w:szCs w:val="24"/>
        </w:rPr>
        <w:t>一、项目概况</w:t>
      </w:r>
    </w:p>
    <w:p w14:paraId="129585D1">
      <w:pPr>
        <w:adjustRightInd w:val="0"/>
        <w:snapToGrid w:val="0"/>
        <w:spacing w:line="408" w:lineRule="auto"/>
        <w:ind w:firstLine="415" w:firstLineChars="198"/>
        <w:rPr>
          <w:rFonts w:hint="eastAsia" w:hAnsi="宋体" w:cs="宋体"/>
          <w:szCs w:val="24"/>
        </w:rPr>
      </w:pPr>
      <w:r>
        <w:rPr>
          <w:rFonts w:hint="eastAsia" w:hAnsi="宋体" w:cs="宋体"/>
          <w:szCs w:val="24"/>
        </w:rPr>
        <w:t>1.项目名称：</w:t>
      </w:r>
      <w:r>
        <w:rPr>
          <w:rFonts w:hint="eastAsia" w:hAnsi="宋体" w:cs="宋体"/>
          <w:szCs w:val="24"/>
          <w:u w:val="single"/>
        </w:rPr>
        <w:t xml:space="preserve">西安市常宁新区开发建设管理委员会后勤物业服务采购项目 </w:t>
      </w:r>
      <w:r>
        <w:rPr>
          <w:rFonts w:hint="eastAsia" w:hAnsi="宋体" w:cs="宋体"/>
          <w:szCs w:val="24"/>
        </w:rPr>
        <w:t>；</w:t>
      </w:r>
    </w:p>
    <w:p w14:paraId="095783FE">
      <w:pPr>
        <w:adjustRightInd w:val="0"/>
        <w:snapToGrid w:val="0"/>
        <w:spacing w:line="408" w:lineRule="auto"/>
        <w:ind w:firstLine="415" w:firstLineChars="198"/>
        <w:rPr>
          <w:rFonts w:hint="eastAsia" w:hAnsi="宋体" w:cs="宋体"/>
          <w:szCs w:val="24"/>
        </w:rPr>
      </w:pPr>
      <w:r>
        <w:rPr>
          <w:rFonts w:hint="eastAsia" w:hAnsi="宋体" w:cs="宋体"/>
          <w:szCs w:val="24"/>
        </w:rPr>
        <w:t>2.项目地点：</w:t>
      </w:r>
      <w:r>
        <w:rPr>
          <w:rFonts w:hint="eastAsia" w:hAnsi="宋体" w:cs="宋体"/>
          <w:szCs w:val="24"/>
          <w:u w:val="single"/>
        </w:rPr>
        <w:t>西安市常宁新区开发建设管理委员会</w:t>
      </w:r>
      <w:r>
        <w:rPr>
          <w:rFonts w:hint="eastAsia" w:hAnsi="宋体" w:cs="宋体"/>
          <w:szCs w:val="24"/>
        </w:rPr>
        <w:t>。</w:t>
      </w:r>
    </w:p>
    <w:p w14:paraId="2D00DB2F">
      <w:pPr>
        <w:spacing w:line="408" w:lineRule="auto"/>
        <w:rPr>
          <w:rFonts w:hint="eastAsia" w:hAnsi="宋体" w:cs="宋体"/>
          <w:b/>
          <w:szCs w:val="24"/>
        </w:rPr>
      </w:pPr>
      <w:r>
        <w:rPr>
          <w:rFonts w:hint="eastAsia" w:hAnsi="宋体" w:cs="宋体"/>
          <w:b/>
          <w:szCs w:val="24"/>
        </w:rPr>
        <w:t>二、组成本合同的文件</w:t>
      </w:r>
    </w:p>
    <w:p w14:paraId="1D713093">
      <w:pPr>
        <w:adjustRightInd w:val="0"/>
        <w:snapToGrid w:val="0"/>
        <w:spacing w:line="408" w:lineRule="auto"/>
        <w:ind w:firstLine="415" w:firstLineChars="198"/>
        <w:rPr>
          <w:rFonts w:hint="eastAsia" w:hAnsi="宋体" w:cs="宋体"/>
          <w:szCs w:val="24"/>
        </w:rPr>
      </w:pPr>
      <w:r>
        <w:rPr>
          <w:rFonts w:hint="eastAsia" w:hAnsi="宋体" w:cs="宋体"/>
          <w:szCs w:val="24"/>
        </w:rPr>
        <w:t>1.协议书；</w:t>
      </w:r>
    </w:p>
    <w:p w14:paraId="0F9BCCD5">
      <w:pPr>
        <w:adjustRightInd w:val="0"/>
        <w:snapToGrid w:val="0"/>
        <w:spacing w:line="408" w:lineRule="auto"/>
        <w:ind w:firstLine="415" w:firstLineChars="198"/>
        <w:rPr>
          <w:rFonts w:hint="eastAsia" w:hAnsi="宋体" w:cs="宋体"/>
          <w:szCs w:val="24"/>
        </w:rPr>
      </w:pPr>
      <w:r>
        <w:rPr>
          <w:rFonts w:hint="eastAsia" w:hAnsi="宋体" w:cs="宋体"/>
          <w:szCs w:val="24"/>
        </w:rPr>
        <w:t>2.成交通知书、竞争性磋商响应文件、竞争性磋商文件、澄清、磋商补充文件（或委托书）；</w:t>
      </w:r>
    </w:p>
    <w:p w14:paraId="3EDFAABA">
      <w:pPr>
        <w:adjustRightInd w:val="0"/>
        <w:snapToGrid w:val="0"/>
        <w:spacing w:line="408" w:lineRule="auto"/>
        <w:ind w:firstLine="420" w:firstLineChars="200"/>
        <w:rPr>
          <w:rFonts w:hint="eastAsia" w:hAnsi="宋体" w:cs="宋体"/>
          <w:szCs w:val="24"/>
        </w:rPr>
      </w:pPr>
      <w:r>
        <w:rPr>
          <w:rFonts w:hint="eastAsia" w:hAnsi="宋体" w:cs="宋体"/>
          <w:szCs w:val="24"/>
        </w:rPr>
        <w:t>3.相关服务建议书；</w:t>
      </w:r>
    </w:p>
    <w:p w14:paraId="4DCDC061">
      <w:pPr>
        <w:adjustRightInd w:val="0"/>
        <w:snapToGrid w:val="0"/>
        <w:spacing w:line="408" w:lineRule="auto"/>
        <w:rPr>
          <w:rFonts w:hint="eastAsia" w:hAnsi="宋体" w:cs="宋体"/>
          <w:szCs w:val="24"/>
        </w:rPr>
      </w:pPr>
      <w:r>
        <w:rPr>
          <w:rFonts w:hint="eastAsia" w:hAnsi="宋体" w:cs="宋体"/>
          <w:szCs w:val="24"/>
        </w:rPr>
        <w:t xml:space="preserve">    4.附录，即：附表内相关服务的范围和内容；</w:t>
      </w:r>
    </w:p>
    <w:p w14:paraId="1ABB6A4D">
      <w:pPr>
        <w:adjustRightInd w:val="0"/>
        <w:snapToGrid w:val="0"/>
        <w:spacing w:line="408" w:lineRule="auto"/>
        <w:ind w:firstLine="415" w:firstLineChars="198"/>
        <w:rPr>
          <w:rFonts w:hint="eastAsia" w:hAnsi="宋体" w:cs="宋体"/>
          <w:szCs w:val="24"/>
        </w:rPr>
      </w:pPr>
      <w:r>
        <w:rPr>
          <w:rFonts w:hint="eastAsia" w:hAnsi="宋体" w:cs="宋体"/>
          <w:szCs w:val="24"/>
        </w:rPr>
        <w:t>本合同签订后，双方依法签订的补充协议也是本合同文件的组成部分。</w:t>
      </w:r>
    </w:p>
    <w:p w14:paraId="537A9DA7">
      <w:pPr>
        <w:spacing w:line="408" w:lineRule="auto"/>
        <w:rPr>
          <w:rFonts w:hint="eastAsia" w:hAnsi="宋体" w:cs="宋体"/>
          <w:b/>
          <w:szCs w:val="24"/>
        </w:rPr>
      </w:pPr>
      <w:r>
        <w:rPr>
          <w:rFonts w:hint="eastAsia" w:hAnsi="宋体" w:cs="宋体"/>
          <w:b/>
          <w:szCs w:val="24"/>
        </w:rPr>
        <w:t>三、合同价款</w:t>
      </w:r>
    </w:p>
    <w:p w14:paraId="7E48AB6D">
      <w:pPr>
        <w:adjustRightInd w:val="0"/>
        <w:snapToGrid w:val="0"/>
        <w:spacing w:line="408" w:lineRule="auto"/>
        <w:ind w:firstLine="415" w:firstLineChars="198"/>
        <w:rPr>
          <w:rFonts w:hint="eastAsia" w:hAnsi="宋体" w:cs="宋体"/>
          <w:szCs w:val="24"/>
        </w:rPr>
      </w:pPr>
      <w:r>
        <w:rPr>
          <w:rFonts w:hint="eastAsia" w:hAnsi="宋体" w:cs="宋体"/>
          <w:szCs w:val="24"/>
        </w:rPr>
        <w:t>合同金额（大写）：</w:t>
      </w:r>
      <w:r>
        <w:rPr>
          <w:rFonts w:hint="eastAsia" w:hAnsi="宋体" w:cs="宋体"/>
          <w:szCs w:val="24"/>
          <w:u w:val="single"/>
        </w:rPr>
        <w:t xml:space="preserve">                  </w:t>
      </w:r>
      <w:r>
        <w:rPr>
          <w:rFonts w:hint="eastAsia" w:hAnsi="宋体" w:cs="宋体"/>
          <w:szCs w:val="24"/>
        </w:rPr>
        <w:t>（¥</w:t>
      </w:r>
      <w:r>
        <w:rPr>
          <w:rFonts w:hint="eastAsia" w:hAnsi="宋体" w:cs="宋体"/>
          <w:szCs w:val="24"/>
          <w:u w:val="single"/>
        </w:rPr>
        <w:t xml:space="preserve">                 </w:t>
      </w:r>
      <w:r>
        <w:rPr>
          <w:rFonts w:hint="eastAsia" w:hAnsi="宋体" w:cs="宋体"/>
          <w:szCs w:val="24"/>
        </w:rPr>
        <w:t>元/年）。</w:t>
      </w:r>
    </w:p>
    <w:p w14:paraId="5C382756">
      <w:pPr>
        <w:adjustRightInd w:val="0"/>
        <w:snapToGrid w:val="0"/>
        <w:spacing w:line="408" w:lineRule="auto"/>
        <w:ind w:firstLine="420" w:firstLineChars="200"/>
        <w:rPr>
          <w:rFonts w:hint="eastAsia" w:hAnsi="宋体" w:cs="宋体"/>
          <w:szCs w:val="24"/>
        </w:rPr>
      </w:pPr>
      <w:r>
        <w:rPr>
          <w:rFonts w:hint="eastAsia" w:hAnsi="宋体" w:cs="宋体"/>
          <w:szCs w:val="24"/>
        </w:rPr>
        <w:t>合同总价即成交价，供应商提供服务所发生的一切费用（包括增值税等相关税费）等都已包含于合同价款中。</w:t>
      </w:r>
    </w:p>
    <w:p w14:paraId="58510829">
      <w:pPr>
        <w:adjustRightInd w:val="0"/>
        <w:snapToGrid w:val="0"/>
        <w:spacing w:line="408" w:lineRule="auto"/>
        <w:ind w:firstLine="420" w:firstLineChars="200"/>
        <w:rPr>
          <w:rFonts w:hint="eastAsia" w:hAnsi="宋体" w:cs="宋体"/>
          <w:color w:val="FF0000"/>
        </w:rPr>
      </w:pPr>
      <w:r>
        <w:rPr>
          <w:rFonts w:hint="eastAsia" w:hAnsi="宋体" w:cs="宋体"/>
          <w:szCs w:val="24"/>
        </w:rPr>
        <w:t>合同总价一次包死，不受市场价变化或实际工作量变化的影响，也不接受追加金额。</w:t>
      </w:r>
    </w:p>
    <w:p w14:paraId="6618E3AB">
      <w:pPr>
        <w:numPr>
          <w:ilvl w:val="0"/>
          <w:numId w:val="1"/>
        </w:numPr>
        <w:adjustRightInd w:val="0"/>
        <w:snapToGrid w:val="0"/>
        <w:spacing w:line="408" w:lineRule="auto"/>
        <w:rPr>
          <w:rFonts w:hint="eastAsia" w:hAnsi="宋体" w:cs="宋体"/>
          <w:b/>
          <w:szCs w:val="24"/>
        </w:rPr>
      </w:pPr>
      <w:r>
        <w:rPr>
          <w:rFonts w:hint="eastAsia" w:hAnsi="宋体" w:cs="宋体"/>
          <w:b/>
          <w:szCs w:val="24"/>
        </w:rPr>
        <w:t>付款方式</w:t>
      </w:r>
    </w:p>
    <w:p w14:paraId="2CB2115B">
      <w:pPr>
        <w:adjustRightInd w:val="0"/>
        <w:snapToGrid w:val="0"/>
        <w:spacing w:line="408" w:lineRule="auto"/>
        <w:ind w:firstLine="630" w:firstLineChars="300"/>
        <w:rPr>
          <w:rFonts w:hint="eastAsia" w:hAnsi="宋体" w:cs="宋体"/>
          <w:szCs w:val="24"/>
        </w:rPr>
      </w:pPr>
      <w:r>
        <w:rPr>
          <w:rFonts w:hint="eastAsia" w:hAnsi="宋体" w:cs="楷体"/>
          <w:bCs/>
          <w:szCs w:val="24"/>
        </w:rPr>
        <w:t>合同签订后，采购人按月付款，每月服务费经采购人确认后按照合同总价款对应比例付款。</w:t>
      </w:r>
      <w:r>
        <w:rPr>
          <w:rFonts w:hint="eastAsia" w:hAnsi="宋体" w:cs="楷体"/>
          <w:szCs w:val="24"/>
        </w:rPr>
        <w:t>采购人在向供应商支付服务费前，供应商应向采购人提供符合采购人要求的等额增值税发票。</w:t>
      </w:r>
      <w:r>
        <w:rPr>
          <w:rFonts w:hint="eastAsia" w:hAnsi="宋体" w:cs="宋体"/>
          <w:szCs w:val="24"/>
        </w:rPr>
        <w:t xml:space="preserve">  </w:t>
      </w:r>
    </w:p>
    <w:p w14:paraId="5425FF33">
      <w:pPr>
        <w:numPr>
          <w:ilvl w:val="0"/>
          <w:numId w:val="1"/>
        </w:numPr>
        <w:adjustRightInd w:val="0"/>
        <w:snapToGrid w:val="0"/>
        <w:spacing w:line="408" w:lineRule="auto"/>
        <w:rPr>
          <w:rFonts w:hint="eastAsia" w:hAnsi="宋体" w:cs="宋体"/>
          <w:b/>
          <w:szCs w:val="24"/>
        </w:rPr>
      </w:pPr>
      <w:r>
        <w:rPr>
          <w:rFonts w:hint="eastAsia" w:hAnsi="宋体" w:cs="宋体"/>
          <w:b/>
          <w:szCs w:val="24"/>
        </w:rPr>
        <w:t>服务期</w:t>
      </w:r>
    </w:p>
    <w:p w14:paraId="68386476">
      <w:pPr>
        <w:pStyle w:val="7"/>
        <w:ind w:firstLine="600" w:firstLineChars="250"/>
        <w:rPr>
          <w:rFonts w:hint="eastAsia" w:ascii="宋体" w:hAnsi="宋体" w:cs="宋体"/>
          <w:kern w:val="0"/>
          <w:sz w:val="24"/>
          <w:szCs w:val="24"/>
        </w:rPr>
      </w:pPr>
      <w:r>
        <w:rPr>
          <w:rFonts w:hint="eastAsia" w:ascii="宋体" w:hAnsi="宋体" w:eastAsia="宋体" w:cs="宋体"/>
          <w:kern w:val="0"/>
          <w:sz w:val="24"/>
          <w:szCs w:val="24"/>
        </w:rPr>
        <w:t>服务期：</w:t>
      </w:r>
      <w:r>
        <w:rPr>
          <w:rFonts w:hint="eastAsia" w:ascii="宋体" w:hAnsi="宋体" w:cs="宋体"/>
          <w:bCs/>
          <w:sz w:val="24"/>
          <w:szCs w:val="24"/>
          <w:u w:val="single"/>
        </w:rPr>
        <w:t xml:space="preserve"> </w:t>
      </w:r>
      <w:r>
        <w:rPr>
          <w:rFonts w:hint="eastAsia" w:ascii="宋体" w:hAnsi="宋体" w:cs="宋体"/>
          <w:bCs/>
          <w:sz w:val="24"/>
          <w:szCs w:val="24"/>
          <w:u w:val="single"/>
          <w:lang w:val="en-US" w:eastAsia="zh-CN"/>
        </w:rPr>
        <w:t>3</w:t>
      </w:r>
      <w:r>
        <w:rPr>
          <w:rFonts w:hint="eastAsia" w:ascii="宋体" w:hAnsi="宋体" w:cs="宋体"/>
          <w:bCs/>
          <w:sz w:val="24"/>
          <w:szCs w:val="24"/>
          <w:u w:val="single"/>
        </w:rPr>
        <w:t>年</w:t>
      </w:r>
      <w:r>
        <w:rPr>
          <w:rFonts w:hint="eastAsia" w:ascii="宋体" w:hAnsi="宋体" w:cs="宋体"/>
          <w:bCs/>
          <w:sz w:val="24"/>
          <w:szCs w:val="24"/>
          <w:u w:val="single"/>
          <w:lang w:eastAsia="zh-CN"/>
        </w:rPr>
        <w:t>，</w:t>
      </w:r>
      <w:r>
        <w:rPr>
          <w:rFonts w:hint="eastAsia" w:ascii="宋体" w:hAnsi="宋体" w:cs="宋体"/>
          <w:bCs/>
          <w:sz w:val="24"/>
          <w:szCs w:val="24"/>
          <w:u w:val="single"/>
          <w:lang w:val="en-US" w:eastAsia="zh-CN"/>
        </w:rPr>
        <w:t>合同每年一签。</w:t>
      </w:r>
      <w:r>
        <w:rPr>
          <w:rFonts w:hint="eastAsia" w:ascii="宋体" w:hAnsi="宋体" w:cs="宋体"/>
          <w:bCs/>
          <w:sz w:val="24"/>
          <w:szCs w:val="24"/>
        </w:rPr>
        <w:t>自</w:t>
      </w:r>
      <w:r>
        <w:rPr>
          <w:rFonts w:hint="eastAsia" w:ascii="宋体" w:hAnsi="宋体" w:cs="宋体"/>
          <w:bCs/>
          <w:sz w:val="24"/>
          <w:szCs w:val="24"/>
          <w:u w:val="single"/>
        </w:rPr>
        <w:t xml:space="preserve">    </w:t>
      </w:r>
      <w:r>
        <w:rPr>
          <w:rFonts w:hint="eastAsia" w:ascii="宋体" w:hAnsi="宋体" w:cs="宋体"/>
          <w:bCs/>
          <w:sz w:val="24"/>
          <w:szCs w:val="24"/>
        </w:rPr>
        <w:t>年</w:t>
      </w:r>
      <w:r>
        <w:rPr>
          <w:rFonts w:hint="eastAsia" w:ascii="宋体" w:hAnsi="宋体" w:cs="宋体"/>
          <w:bCs/>
          <w:sz w:val="24"/>
          <w:szCs w:val="24"/>
          <w:u w:val="single"/>
        </w:rPr>
        <w:t xml:space="preserve">     </w:t>
      </w:r>
      <w:r>
        <w:rPr>
          <w:rFonts w:hint="eastAsia" w:ascii="宋体" w:hAnsi="宋体" w:cs="宋体"/>
          <w:bCs/>
          <w:sz w:val="24"/>
          <w:szCs w:val="24"/>
        </w:rPr>
        <w:t>月</w:t>
      </w:r>
      <w:r>
        <w:rPr>
          <w:rFonts w:hint="eastAsia" w:ascii="宋体" w:hAnsi="宋体" w:cs="宋体"/>
          <w:bCs/>
          <w:sz w:val="24"/>
          <w:szCs w:val="24"/>
          <w:u w:val="single"/>
        </w:rPr>
        <w:t xml:space="preserve">     </w:t>
      </w:r>
      <w:r>
        <w:rPr>
          <w:rFonts w:hint="eastAsia" w:ascii="宋体" w:hAnsi="宋体" w:cs="宋体"/>
          <w:bCs/>
          <w:sz w:val="24"/>
          <w:szCs w:val="24"/>
        </w:rPr>
        <w:t>日始，至</w:t>
      </w:r>
      <w:r>
        <w:rPr>
          <w:rFonts w:hint="eastAsia" w:ascii="宋体" w:hAnsi="宋体" w:cs="宋体"/>
          <w:bCs/>
          <w:sz w:val="24"/>
          <w:szCs w:val="24"/>
          <w:u w:val="single"/>
        </w:rPr>
        <w:t xml:space="preserve">     </w:t>
      </w:r>
      <w:r>
        <w:rPr>
          <w:rFonts w:hint="eastAsia" w:ascii="宋体" w:hAnsi="宋体" w:cs="宋体"/>
          <w:bCs/>
          <w:sz w:val="24"/>
          <w:szCs w:val="24"/>
        </w:rPr>
        <w:t>年</w:t>
      </w:r>
      <w:r>
        <w:rPr>
          <w:rFonts w:hint="eastAsia" w:ascii="宋体" w:hAnsi="宋体" w:cs="宋体"/>
          <w:bCs/>
          <w:sz w:val="24"/>
          <w:szCs w:val="24"/>
          <w:u w:val="single"/>
        </w:rPr>
        <w:t xml:space="preserve">    </w:t>
      </w:r>
      <w:r>
        <w:rPr>
          <w:rFonts w:hint="eastAsia" w:ascii="宋体" w:hAnsi="宋体" w:cs="宋体"/>
          <w:bCs/>
          <w:sz w:val="24"/>
          <w:szCs w:val="24"/>
        </w:rPr>
        <w:t>月</w:t>
      </w:r>
      <w:r>
        <w:rPr>
          <w:rFonts w:hint="eastAsia" w:ascii="宋体" w:hAnsi="宋体" w:cs="宋体"/>
          <w:bCs/>
          <w:sz w:val="24"/>
          <w:szCs w:val="24"/>
          <w:u w:val="single"/>
        </w:rPr>
        <w:t xml:space="preserve">   </w:t>
      </w:r>
      <w:r>
        <w:rPr>
          <w:rFonts w:hint="eastAsia" w:ascii="宋体" w:hAnsi="宋体" w:cs="宋体"/>
          <w:bCs/>
          <w:sz w:val="24"/>
          <w:szCs w:val="24"/>
        </w:rPr>
        <w:t>日止。</w:t>
      </w:r>
    </w:p>
    <w:p w14:paraId="5167E9FE">
      <w:pPr>
        <w:spacing w:line="408" w:lineRule="auto"/>
        <w:rPr>
          <w:rFonts w:hint="eastAsia" w:hAnsi="宋体" w:cs="宋体"/>
          <w:b/>
          <w:szCs w:val="24"/>
        </w:rPr>
      </w:pPr>
      <w:r>
        <w:rPr>
          <w:rFonts w:hint="eastAsia" w:hAnsi="宋体" w:cs="宋体"/>
          <w:b/>
          <w:szCs w:val="24"/>
        </w:rPr>
        <w:t>六、双方承诺</w:t>
      </w:r>
    </w:p>
    <w:p w14:paraId="691B8B2D">
      <w:pPr>
        <w:adjustRightInd w:val="0"/>
        <w:snapToGrid w:val="0"/>
        <w:spacing w:line="408" w:lineRule="auto"/>
        <w:ind w:firstLine="415" w:firstLineChars="198"/>
        <w:rPr>
          <w:rFonts w:hint="eastAsia" w:hAnsi="宋体" w:cs="宋体"/>
          <w:szCs w:val="24"/>
        </w:rPr>
      </w:pPr>
      <w:r>
        <w:rPr>
          <w:rFonts w:hint="eastAsia" w:hAnsi="宋体" w:cs="宋体"/>
          <w:szCs w:val="24"/>
        </w:rPr>
        <w:t>1. 供应商向采购人承诺，按照本合同约定提供相关服务。</w:t>
      </w:r>
    </w:p>
    <w:p w14:paraId="3E231A1A">
      <w:pPr>
        <w:adjustRightInd w:val="0"/>
        <w:snapToGrid w:val="0"/>
        <w:spacing w:line="408" w:lineRule="auto"/>
        <w:ind w:firstLine="415" w:firstLineChars="198"/>
        <w:rPr>
          <w:rFonts w:hint="eastAsia" w:hAnsi="宋体" w:cs="宋体"/>
          <w:szCs w:val="24"/>
        </w:rPr>
      </w:pPr>
      <w:r>
        <w:rPr>
          <w:rFonts w:hint="eastAsia" w:hAnsi="宋体" w:cs="宋体"/>
          <w:szCs w:val="24"/>
        </w:rPr>
        <w:t>2. 采购人向供应商承诺，按照本合同约定支付服务款项。</w:t>
      </w:r>
    </w:p>
    <w:p w14:paraId="3FD5EC19">
      <w:pPr>
        <w:tabs>
          <w:tab w:val="left" w:pos="840"/>
        </w:tabs>
        <w:spacing w:line="408" w:lineRule="auto"/>
        <w:rPr>
          <w:rFonts w:hint="eastAsia" w:hAnsi="宋体" w:cs="宋体"/>
          <w:b/>
          <w:szCs w:val="24"/>
        </w:rPr>
      </w:pPr>
      <w:r>
        <w:rPr>
          <w:rFonts w:hint="eastAsia" w:hAnsi="宋体" w:cs="宋体"/>
          <w:b/>
          <w:szCs w:val="24"/>
        </w:rPr>
        <w:t>七、服务内容及要求</w:t>
      </w:r>
    </w:p>
    <w:p w14:paraId="5E0EDC9A">
      <w:pPr>
        <w:pStyle w:val="7"/>
        <w:spacing w:line="360" w:lineRule="auto"/>
        <w:rPr>
          <w:rFonts w:hint="eastAsia" w:ascii="宋体" w:hAnsi="宋体" w:eastAsia="宋体" w:cs="宋体"/>
          <w:szCs w:val="24"/>
        </w:rPr>
      </w:pPr>
      <w:r>
        <w:rPr>
          <w:rFonts w:hint="eastAsia" w:ascii="宋体" w:hAnsi="宋体" w:eastAsia="宋体" w:cs="宋体"/>
          <w:b/>
          <w:szCs w:val="24"/>
        </w:rPr>
        <w:t xml:space="preserve">  </w:t>
      </w:r>
      <w:r>
        <w:rPr>
          <w:rFonts w:hint="eastAsia" w:ascii="宋体" w:hAnsi="宋体" w:eastAsia="宋体" w:cs="宋体"/>
          <w:bCs/>
          <w:sz w:val="24"/>
          <w:szCs w:val="24"/>
        </w:rPr>
        <w:t xml:space="preserve">  即交付的服务、内容、数量与竞争性磋商文件中所规定的一致，并且必须符合国家强制性规定和有关规范、标准要求。</w:t>
      </w:r>
    </w:p>
    <w:p w14:paraId="26A72D11">
      <w:pPr>
        <w:spacing w:line="408" w:lineRule="auto"/>
        <w:rPr>
          <w:rFonts w:hint="eastAsia" w:hAnsi="宋体" w:cs="宋体"/>
          <w:b/>
          <w:szCs w:val="24"/>
        </w:rPr>
      </w:pPr>
      <w:r>
        <w:rPr>
          <w:rFonts w:hint="eastAsia" w:hAnsi="宋体" w:cs="宋体"/>
          <w:b/>
          <w:szCs w:val="24"/>
        </w:rPr>
        <w:t>八、双方的责任、权利和义务</w:t>
      </w:r>
    </w:p>
    <w:p w14:paraId="4A3F1079">
      <w:pPr>
        <w:pStyle w:val="9"/>
        <w:spacing w:line="408" w:lineRule="auto"/>
        <w:ind w:firstLine="480" w:firstLineChars="200"/>
        <w:rPr>
          <w:rFonts w:hint="eastAsia" w:hAnsi="宋体" w:cs="宋体"/>
          <w:bCs/>
          <w:sz w:val="24"/>
          <w:szCs w:val="24"/>
        </w:rPr>
      </w:pPr>
      <w:r>
        <w:rPr>
          <w:rFonts w:hint="eastAsia" w:hAnsi="宋体" w:cs="宋体"/>
          <w:bCs/>
          <w:sz w:val="24"/>
          <w:szCs w:val="24"/>
        </w:rPr>
        <w:t>1、采购人的责任、权利和义务</w:t>
      </w:r>
    </w:p>
    <w:p w14:paraId="6A95C38C">
      <w:pPr>
        <w:pStyle w:val="9"/>
        <w:spacing w:line="408" w:lineRule="auto"/>
        <w:ind w:firstLine="480" w:firstLineChars="200"/>
        <w:rPr>
          <w:rFonts w:hint="eastAsia" w:hAnsi="宋体" w:cs="宋体"/>
          <w:bCs/>
          <w:sz w:val="24"/>
          <w:szCs w:val="24"/>
        </w:rPr>
      </w:pPr>
      <w:r>
        <w:rPr>
          <w:rFonts w:hint="eastAsia" w:hAnsi="宋体" w:cs="宋体"/>
          <w:bCs/>
          <w:sz w:val="24"/>
          <w:szCs w:val="24"/>
        </w:rPr>
        <w:t>1.1、采购人有权指导供应商物业人员的各项工作，监督供应商合同执行效果。</w:t>
      </w:r>
    </w:p>
    <w:p w14:paraId="45E12377">
      <w:pPr>
        <w:pStyle w:val="9"/>
        <w:spacing w:line="408" w:lineRule="auto"/>
        <w:ind w:firstLine="480" w:firstLineChars="200"/>
        <w:rPr>
          <w:rFonts w:hint="eastAsia" w:hAnsi="宋体" w:cs="宋体"/>
          <w:bCs/>
          <w:sz w:val="24"/>
          <w:szCs w:val="24"/>
        </w:rPr>
      </w:pPr>
      <w:r>
        <w:rPr>
          <w:rFonts w:hint="eastAsia" w:hAnsi="宋体" w:cs="宋体"/>
          <w:bCs/>
          <w:sz w:val="24"/>
          <w:szCs w:val="24"/>
        </w:rPr>
        <w:t>1.2、支持、确定物业人员贯彻执行服务区域内各项安全操作规范制度，教育本单位职工接受安保检查管理。</w:t>
      </w:r>
    </w:p>
    <w:p w14:paraId="0D44F7B9">
      <w:pPr>
        <w:pStyle w:val="9"/>
        <w:spacing w:line="408" w:lineRule="auto"/>
        <w:ind w:firstLine="480" w:firstLineChars="200"/>
        <w:rPr>
          <w:rFonts w:hint="eastAsia" w:hAnsi="宋体" w:cs="宋体"/>
          <w:bCs/>
          <w:sz w:val="24"/>
          <w:szCs w:val="24"/>
        </w:rPr>
      </w:pPr>
      <w:r>
        <w:rPr>
          <w:rFonts w:hint="eastAsia" w:hAnsi="宋体" w:cs="宋体"/>
          <w:bCs/>
          <w:sz w:val="24"/>
          <w:szCs w:val="24"/>
        </w:rPr>
        <w:t>1.3、采购人有权检查供应商物业人员的劳动合同及社会保险凭证，有权要求供应商更换不合格人员。</w:t>
      </w:r>
    </w:p>
    <w:p w14:paraId="3FE2F328">
      <w:pPr>
        <w:pStyle w:val="9"/>
        <w:spacing w:line="408" w:lineRule="auto"/>
        <w:ind w:firstLine="480" w:firstLineChars="200"/>
        <w:rPr>
          <w:rFonts w:hint="eastAsia" w:hAnsi="宋体" w:cs="宋体"/>
          <w:bCs/>
          <w:sz w:val="24"/>
          <w:szCs w:val="24"/>
        </w:rPr>
      </w:pPr>
      <w:r>
        <w:rPr>
          <w:rFonts w:hint="eastAsia" w:hAnsi="宋体" w:cs="宋体"/>
          <w:bCs/>
          <w:sz w:val="24"/>
          <w:szCs w:val="24"/>
        </w:rPr>
        <w:t>1.4、采购人有权对无效服务跟踪全程进行处罚通告。</w:t>
      </w:r>
    </w:p>
    <w:p w14:paraId="497D4CB6">
      <w:pPr>
        <w:pStyle w:val="9"/>
        <w:spacing w:line="408" w:lineRule="auto"/>
        <w:ind w:firstLine="480" w:firstLineChars="200"/>
        <w:rPr>
          <w:rFonts w:hint="eastAsia" w:hAnsi="宋体" w:cs="宋体"/>
          <w:bCs/>
          <w:sz w:val="24"/>
          <w:szCs w:val="24"/>
        </w:rPr>
      </w:pPr>
      <w:r>
        <w:rPr>
          <w:rFonts w:hint="eastAsia" w:hAnsi="宋体" w:cs="宋体"/>
          <w:bCs/>
          <w:sz w:val="24"/>
          <w:szCs w:val="24"/>
        </w:rPr>
        <w:t>1.5、采购人有权对进入服务区内物业人员进行年龄核对，以身份证为准。</w:t>
      </w:r>
    </w:p>
    <w:p w14:paraId="21B5CF1A">
      <w:pPr>
        <w:pStyle w:val="9"/>
        <w:spacing w:line="408" w:lineRule="auto"/>
        <w:ind w:firstLine="480" w:firstLineChars="200"/>
        <w:rPr>
          <w:rFonts w:hint="eastAsia" w:hAnsi="宋体" w:cs="宋体"/>
          <w:bCs/>
          <w:sz w:val="24"/>
          <w:szCs w:val="24"/>
        </w:rPr>
      </w:pPr>
      <w:r>
        <w:rPr>
          <w:rFonts w:hint="eastAsia" w:hAnsi="宋体" w:cs="宋体"/>
          <w:bCs/>
          <w:sz w:val="24"/>
          <w:szCs w:val="24"/>
        </w:rPr>
        <w:t>1.6、采购人有权对物业人员进行合理询问，依据合同检查是否执行岗位服务内容。</w:t>
      </w:r>
    </w:p>
    <w:p w14:paraId="2A35763C">
      <w:pPr>
        <w:pStyle w:val="9"/>
        <w:spacing w:line="408" w:lineRule="auto"/>
        <w:ind w:firstLine="480" w:firstLineChars="200"/>
        <w:rPr>
          <w:rFonts w:hint="eastAsia" w:hAnsi="宋体" w:cs="宋体"/>
          <w:bCs/>
          <w:sz w:val="24"/>
          <w:szCs w:val="24"/>
        </w:rPr>
      </w:pPr>
      <w:r>
        <w:rPr>
          <w:rFonts w:hint="eastAsia" w:hAnsi="宋体" w:cs="宋体"/>
          <w:bCs/>
          <w:sz w:val="24"/>
          <w:szCs w:val="24"/>
        </w:rPr>
        <w:t>2、供应商的责任、权利和义务</w:t>
      </w:r>
    </w:p>
    <w:p w14:paraId="6FC5149D">
      <w:pPr>
        <w:pStyle w:val="9"/>
        <w:spacing w:line="408" w:lineRule="auto"/>
        <w:ind w:firstLine="480" w:firstLineChars="200"/>
        <w:rPr>
          <w:rFonts w:hint="eastAsia" w:hAnsi="宋体" w:cs="宋体"/>
          <w:bCs/>
          <w:sz w:val="24"/>
          <w:szCs w:val="24"/>
        </w:rPr>
      </w:pPr>
      <w:r>
        <w:rPr>
          <w:rFonts w:hint="eastAsia" w:hAnsi="宋体" w:cs="宋体"/>
          <w:bCs/>
          <w:sz w:val="24"/>
          <w:szCs w:val="24"/>
        </w:rPr>
        <w:t>2.1、供应商为采购人提供的物业人员必须符合物业服务公司的要求，培训达标后持证上岗。</w:t>
      </w:r>
    </w:p>
    <w:p w14:paraId="16A80257">
      <w:pPr>
        <w:pStyle w:val="9"/>
        <w:spacing w:line="408" w:lineRule="auto"/>
        <w:ind w:firstLine="480" w:firstLineChars="200"/>
        <w:rPr>
          <w:rFonts w:hint="eastAsia" w:hAnsi="宋体" w:cs="宋体"/>
          <w:bCs/>
          <w:sz w:val="24"/>
          <w:szCs w:val="24"/>
        </w:rPr>
      </w:pPr>
      <w:r>
        <w:rPr>
          <w:rFonts w:hint="eastAsia" w:hAnsi="宋体" w:cs="宋体"/>
          <w:bCs/>
          <w:sz w:val="24"/>
          <w:szCs w:val="24"/>
        </w:rPr>
        <w:t>2.2、供应商应遵照《劳动法》，与物业人员签订劳动合同，应根据《劳动法》、《工伤保险条例》等法律法规规定，为物业人员提供社会保险等福利，并向采购人提供劳动合同、社会保险原件，经采购人确认后，由采购人留存劳动合同、社会保险复印件。</w:t>
      </w:r>
    </w:p>
    <w:p w14:paraId="112FA2CC">
      <w:pPr>
        <w:pStyle w:val="9"/>
        <w:spacing w:line="408" w:lineRule="auto"/>
        <w:ind w:firstLine="480" w:firstLineChars="200"/>
        <w:rPr>
          <w:rFonts w:hint="eastAsia" w:hAnsi="宋体" w:cs="宋体"/>
          <w:bCs/>
          <w:sz w:val="24"/>
          <w:szCs w:val="24"/>
        </w:rPr>
      </w:pPr>
      <w:r>
        <w:rPr>
          <w:rFonts w:hint="eastAsia" w:hAnsi="宋体" w:cs="宋体"/>
          <w:bCs/>
          <w:sz w:val="24"/>
          <w:szCs w:val="24"/>
        </w:rPr>
        <w:t>2.3、供应商应严格执行《物业管理服务等标准》《安全保障部服务操作规范标准》。</w:t>
      </w:r>
    </w:p>
    <w:p w14:paraId="4CC69031">
      <w:pPr>
        <w:pStyle w:val="9"/>
        <w:spacing w:line="408" w:lineRule="auto"/>
        <w:ind w:firstLine="480" w:firstLineChars="200"/>
        <w:rPr>
          <w:rFonts w:hint="eastAsia" w:hAnsi="宋体" w:cs="宋体"/>
          <w:bCs/>
          <w:sz w:val="24"/>
          <w:szCs w:val="24"/>
        </w:rPr>
      </w:pPr>
      <w:r>
        <w:rPr>
          <w:rFonts w:hint="eastAsia" w:hAnsi="宋体" w:cs="宋体"/>
          <w:bCs/>
          <w:sz w:val="24"/>
          <w:szCs w:val="24"/>
        </w:rPr>
        <w:t>2.4、满足采购人物业服务服务质量要求，经采购人与供应商双方负责人确认，对达不到《物业管理服务等标准》、《安全保障部服务操作规范标准》及本项目招标要求所述条件要求的人员进行更换。</w:t>
      </w:r>
    </w:p>
    <w:p w14:paraId="1FC51C2A">
      <w:pPr>
        <w:pStyle w:val="9"/>
        <w:spacing w:line="408" w:lineRule="auto"/>
        <w:ind w:firstLine="480" w:firstLineChars="200"/>
        <w:rPr>
          <w:rFonts w:hint="eastAsia" w:hAnsi="宋体" w:cs="宋体"/>
          <w:bCs/>
          <w:sz w:val="24"/>
          <w:szCs w:val="24"/>
        </w:rPr>
      </w:pPr>
      <w:r>
        <w:rPr>
          <w:rFonts w:hint="eastAsia" w:hAnsi="宋体" w:cs="宋体"/>
          <w:bCs/>
          <w:sz w:val="24"/>
          <w:szCs w:val="24"/>
        </w:rPr>
        <w:t>2.5、供应商物业服务人员在采购人服务区域内违法、犯罪，供应商应负全部责任。</w:t>
      </w:r>
    </w:p>
    <w:p w14:paraId="54196910">
      <w:pPr>
        <w:pStyle w:val="9"/>
        <w:spacing w:line="408" w:lineRule="auto"/>
        <w:ind w:firstLine="480" w:firstLineChars="200"/>
        <w:rPr>
          <w:rFonts w:hint="eastAsia" w:hAnsi="宋体" w:cs="宋体"/>
          <w:bCs/>
          <w:sz w:val="24"/>
          <w:szCs w:val="24"/>
        </w:rPr>
      </w:pPr>
      <w:r>
        <w:rPr>
          <w:rFonts w:hint="eastAsia" w:hAnsi="宋体" w:cs="宋体"/>
          <w:bCs/>
          <w:sz w:val="24"/>
          <w:szCs w:val="24"/>
        </w:rPr>
        <w:t>2.6、如供应商物业服务人员在经营服务中为抢救采购人生命、财产致伤、致残、致死亡，其赔偿费用应从工伤保险基金中支付，采购人只支付其中的工资部分。</w:t>
      </w:r>
    </w:p>
    <w:p w14:paraId="6C7280D6">
      <w:pPr>
        <w:pStyle w:val="9"/>
        <w:spacing w:line="408" w:lineRule="auto"/>
        <w:ind w:firstLine="480" w:firstLineChars="200"/>
        <w:rPr>
          <w:rFonts w:hint="eastAsia" w:hAnsi="宋体" w:cs="宋体"/>
          <w:bCs/>
          <w:sz w:val="24"/>
          <w:szCs w:val="24"/>
        </w:rPr>
      </w:pPr>
      <w:r>
        <w:rPr>
          <w:rFonts w:hint="eastAsia" w:hAnsi="宋体" w:cs="宋体"/>
          <w:bCs/>
          <w:sz w:val="24"/>
          <w:szCs w:val="24"/>
        </w:rPr>
        <w:t>2.7、对采购人区域内的不安全隐患应及时提出书面建议并积极配合改进、解决。</w:t>
      </w:r>
    </w:p>
    <w:p w14:paraId="1D06E6AD">
      <w:pPr>
        <w:pStyle w:val="9"/>
        <w:spacing w:line="408" w:lineRule="auto"/>
        <w:rPr>
          <w:rFonts w:hint="eastAsia" w:hAnsi="宋体" w:cs="宋体"/>
          <w:b/>
          <w:sz w:val="24"/>
          <w:szCs w:val="24"/>
        </w:rPr>
      </w:pPr>
      <w:r>
        <w:rPr>
          <w:rFonts w:hint="eastAsia" w:hAnsi="宋体" w:cs="宋体"/>
          <w:b/>
          <w:sz w:val="24"/>
          <w:szCs w:val="24"/>
        </w:rPr>
        <w:t>九、质量保证：</w:t>
      </w:r>
    </w:p>
    <w:p w14:paraId="41144045">
      <w:pPr>
        <w:spacing w:line="408" w:lineRule="auto"/>
        <w:ind w:firstLine="420" w:firstLineChars="200"/>
        <w:rPr>
          <w:rFonts w:hint="eastAsia" w:hAnsi="宋体" w:cs="宋体"/>
          <w:szCs w:val="24"/>
        </w:rPr>
      </w:pPr>
      <w:r>
        <w:rPr>
          <w:rFonts w:hint="eastAsia" w:hAnsi="宋体" w:cs="宋体"/>
          <w:szCs w:val="24"/>
        </w:rPr>
        <w:t>供应商提供的服务，应全面满足磋商文件的要求，磋商文件未明确要求的内容，供应商须按采购人的补充要求为准。</w:t>
      </w:r>
    </w:p>
    <w:p w14:paraId="64BC0AE6">
      <w:pPr>
        <w:tabs>
          <w:tab w:val="left" w:pos="498"/>
        </w:tabs>
        <w:spacing w:line="408" w:lineRule="auto"/>
        <w:jc w:val="left"/>
        <w:rPr>
          <w:rFonts w:hint="eastAsia" w:hAnsi="宋体" w:cs="宋体"/>
          <w:szCs w:val="24"/>
        </w:rPr>
      </w:pPr>
      <w:r>
        <w:rPr>
          <w:rFonts w:hint="eastAsia" w:hAnsi="宋体" w:cs="宋体"/>
          <w:b/>
          <w:szCs w:val="24"/>
        </w:rPr>
        <w:t>十、合同争议的解决：</w:t>
      </w:r>
      <w:r>
        <w:rPr>
          <w:rFonts w:hint="eastAsia" w:hAnsi="宋体" w:cs="宋体"/>
          <w:szCs w:val="24"/>
        </w:rPr>
        <w:t>合同执行中发生争议的，当事人双方应协商解决，协商达不成一致时，可向采购人所在地人民法院提请诉讼。</w:t>
      </w:r>
    </w:p>
    <w:p w14:paraId="25E91EAD">
      <w:pPr>
        <w:tabs>
          <w:tab w:val="left" w:pos="498"/>
        </w:tabs>
        <w:spacing w:line="408" w:lineRule="auto"/>
        <w:jc w:val="left"/>
        <w:rPr>
          <w:rFonts w:hint="eastAsia" w:hAnsi="宋体" w:cs="宋体"/>
          <w:szCs w:val="24"/>
        </w:rPr>
      </w:pPr>
      <w:r>
        <w:rPr>
          <w:rFonts w:hint="eastAsia" w:hAnsi="宋体" w:cs="宋体"/>
          <w:b/>
          <w:szCs w:val="24"/>
        </w:rPr>
        <w:t>十一、</w:t>
      </w:r>
      <w:r>
        <w:rPr>
          <w:rFonts w:hint="eastAsia" w:hAnsi="宋体" w:cs="宋体"/>
          <w:szCs w:val="24"/>
        </w:rPr>
        <w:t>不可抗力情况下的免责约定，双方约定不可 抗力情况包括：五级以上地震、大风、大雨、大雪。</w:t>
      </w:r>
    </w:p>
    <w:p w14:paraId="17E3D3C7">
      <w:pPr>
        <w:tabs>
          <w:tab w:val="left" w:pos="498"/>
        </w:tabs>
        <w:spacing w:line="408" w:lineRule="auto"/>
        <w:jc w:val="left"/>
        <w:rPr>
          <w:rFonts w:hint="eastAsia" w:hAnsi="宋体" w:cs="宋体"/>
          <w:b/>
          <w:szCs w:val="24"/>
        </w:rPr>
      </w:pPr>
      <w:r>
        <w:rPr>
          <w:rFonts w:hint="eastAsia" w:hAnsi="宋体" w:cs="宋体"/>
          <w:b/>
          <w:szCs w:val="24"/>
        </w:rPr>
        <w:t>十二、</w:t>
      </w:r>
      <w:r>
        <w:rPr>
          <w:rFonts w:hint="eastAsia" w:hAnsi="宋体" w:cs="宋体"/>
          <w:szCs w:val="24"/>
        </w:rPr>
        <w:t xml:space="preserve">合同执行中发生争议的，当事人双方应协商解决，协商达不成一致时，双方同意向西安市仲裁委员会申请仲裁。   </w:t>
      </w:r>
    </w:p>
    <w:p w14:paraId="2A9856BA">
      <w:pPr>
        <w:spacing w:line="408" w:lineRule="auto"/>
        <w:rPr>
          <w:rFonts w:hint="eastAsia" w:hAnsi="宋体" w:cs="宋体"/>
          <w:szCs w:val="24"/>
        </w:rPr>
      </w:pPr>
      <w:r>
        <w:rPr>
          <w:rFonts w:hint="eastAsia" w:hAnsi="宋体" w:cs="宋体"/>
          <w:b/>
          <w:szCs w:val="24"/>
        </w:rPr>
        <w:t>十三、</w:t>
      </w:r>
      <w:r>
        <w:rPr>
          <w:rFonts w:hint="eastAsia" w:hAnsi="宋体" w:cs="宋体"/>
          <w:szCs w:val="24"/>
        </w:rPr>
        <w:t>除本合同约定，合同一经签订，不得擅自变更、中止或者终止合同。对确需变更、调整或者中止、终止合同的，应按规定履行相应的手续。</w:t>
      </w:r>
    </w:p>
    <w:p w14:paraId="20CA884D">
      <w:pPr>
        <w:spacing w:line="408" w:lineRule="auto"/>
        <w:rPr>
          <w:rFonts w:hint="eastAsia" w:hAnsi="宋体" w:cs="宋体"/>
          <w:szCs w:val="24"/>
        </w:rPr>
      </w:pPr>
      <w:r>
        <w:rPr>
          <w:rFonts w:hint="eastAsia" w:hAnsi="宋体" w:cs="宋体"/>
          <w:b/>
          <w:szCs w:val="24"/>
        </w:rPr>
        <w:t>十四、违约责任：</w:t>
      </w:r>
      <w:r>
        <w:rPr>
          <w:rFonts w:hint="eastAsia" w:hAnsi="宋体" w:cs="宋体"/>
          <w:szCs w:val="24"/>
        </w:rPr>
        <w:t>按《中华人民共和国民法典》中的相关条款和本合同的约定执行。</w:t>
      </w:r>
    </w:p>
    <w:p w14:paraId="16C14202">
      <w:pPr>
        <w:spacing w:line="408" w:lineRule="auto"/>
        <w:rPr>
          <w:rFonts w:hint="eastAsia" w:hAnsi="宋体" w:cs="宋体"/>
          <w:szCs w:val="24"/>
        </w:rPr>
      </w:pPr>
      <w:r>
        <w:rPr>
          <w:rFonts w:hint="eastAsia" w:hAnsi="宋体" w:cs="宋体"/>
          <w:szCs w:val="24"/>
        </w:rPr>
        <w:t>未按合同或磋商文件要求提供产品或供应的产品质量不能满足采购人技术要求，采购人有权终止合同，甚至对供应商违约行为进行追究。</w:t>
      </w:r>
    </w:p>
    <w:p w14:paraId="00A73493">
      <w:pPr>
        <w:spacing w:line="408" w:lineRule="auto"/>
        <w:rPr>
          <w:rFonts w:hint="eastAsia" w:hAnsi="宋体" w:cs="宋体"/>
          <w:b/>
          <w:szCs w:val="24"/>
        </w:rPr>
      </w:pPr>
      <w:r>
        <w:rPr>
          <w:rFonts w:hint="eastAsia" w:hAnsi="宋体" w:cs="宋体"/>
          <w:b/>
          <w:szCs w:val="24"/>
        </w:rPr>
        <w:t>十五、合同订立</w:t>
      </w:r>
    </w:p>
    <w:p w14:paraId="4263BAB0">
      <w:pPr>
        <w:adjustRightInd w:val="0"/>
        <w:snapToGrid w:val="0"/>
        <w:spacing w:line="408" w:lineRule="auto"/>
        <w:ind w:firstLine="415" w:firstLineChars="198"/>
        <w:rPr>
          <w:rFonts w:hint="eastAsia" w:hAnsi="宋体" w:cs="宋体"/>
          <w:szCs w:val="24"/>
        </w:rPr>
      </w:pPr>
      <w:r>
        <w:rPr>
          <w:rFonts w:hint="eastAsia" w:hAnsi="宋体" w:cs="宋体"/>
          <w:szCs w:val="24"/>
        </w:rPr>
        <w:t>1. 订立时间：</w:t>
      </w:r>
      <w:r>
        <w:rPr>
          <w:rFonts w:hint="eastAsia" w:hAnsi="宋体" w:cs="宋体"/>
          <w:szCs w:val="24"/>
          <w:u w:val="single"/>
        </w:rPr>
        <w:t xml:space="preserve">          </w:t>
      </w:r>
      <w:r>
        <w:rPr>
          <w:rFonts w:hint="eastAsia" w:hAnsi="宋体" w:cs="宋体"/>
          <w:szCs w:val="24"/>
        </w:rPr>
        <w:t>年</w:t>
      </w:r>
      <w:r>
        <w:rPr>
          <w:rFonts w:hint="eastAsia" w:hAnsi="宋体" w:cs="宋体"/>
          <w:szCs w:val="24"/>
          <w:u w:val="single"/>
        </w:rPr>
        <w:t xml:space="preserve">     </w:t>
      </w:r>
      <w:r>
        <w:rPr>
          <w:rFonts w:hint="eastAsia" w:hAnsi="宋体" w:cs="宋体"/>
          <w:szCs w:val="24"/>
        </w:rPr>
        <w:t>月</w:t>
      </w:r>
      <w:r>
        <w:rPr>
          <w:rFonts w:hint="eastAsia" w:hAnsi="宋体" w:cs="宋体"/>
          <w:szCs w:val="24"/>
          <w:u w:val="single"/>
        </w:rPr>
        <w:t xml:space="preserve">       </w:t>
      </w:r>
      <w:r>
        <w:rPr>
          <w:rFonts w:hint="eastAsia" w:hAnsi="宋体" w:cs="宋体"/>
          <w:szCs w:val="24"/>
        </w:rPr>
        <w:t>日。</w:t>
      </w:r>
    </w:p>
    <w:p w14:paraId="0D4CF84A">
      <w:pPr>
        <w:adjustRightInd w:val="0"/>
        <w:snapToGrid w:val="0"/>
        <w:spacing w:line="408" w:lineRule="auto"/>
        <w:ind w:firstLine="415" w:firstLineChars="198"/>
        <w:rPr>
          <w:rFonts w:hint="eastAsia" w:hAnsi="宋体" w:cs="宋体"/>
          <w:szCs w:val="24"/>
        </w:rPr>
      </w:pPr>
      <w:r>
        <w:rPr>
          <w:rFonts w:hint="eastAsia" w:hAnsi="宋体" w:cs="宋体"/>
          <w:szCs w:val="24"/>
        </w:rPr>
        <w:t>2. 订立地点：</w:t>
      </w:r>
      <w:r>
        <w:rPr>
          <w:rFonts w:hint="eastAsia" w:hAnsi="宋体" w:cs="宋体"/>
          <w:szCs w:val="24"/>
          <w:u w:val="single"/>
        </w:rPr>
        <w:t xml:space="preserve">                     </w:t>
      </w:r>
      <w:r>
        <w:rPr>
          <w:rFonts w:hint="eastAsia" w:hAnsi="宋体" w:cs="宋体"/>
          <w:szCs w:val="24"/>
        </w:rPr>
        <w:t>。</w:t>
      </w:r>
    </w:p>
    <w:p w14:paraId="4E0ACF4B">
      <w:pPr>
        <w:tabs>
          <w:tab w:val="left" w:pos="980"/>
        </w:tabs>
        <w:kinsoku w:val="0"/>
        <w:spacing w:line="408" w:lineRule="auto"/>
        <w:ind w:firstLine="420" w:firstLineChars="200"/>
        <w:rPr>
          <w:rFonts w:hint="eastAsia" w:hAnsi="宋体" w:cs="宋体"/>
          <w:szCs w:val="24"/>
        </w:rPr>
      </w:pPr>
      <w:r>
        <w:rPr>
          <w:rFonts w:hint="eastAsia" w:hAnsi="宋体" w:cs="宋体"/>
          <w:szCs w:val="24"/>
        </w:rPr>
        <w:t>3. 本合同一式</w:t>
      </w:r>
      <w:r>
        <w:rPr>
          <w:rFonts w:hint="eastAsia" w:hAnsi="宋体" w:cs="宋体"/>
          <w:szCs w:val="24"/>
          <w:u w:val="single"/>
        </w:rPr>
        <w:t xml:space="preserve">  捌  </w:t>
      </w:r>
      <w:r>
        <w:rPr>
          <w:rFonts w:hint="eastAsia" w:hAnsi="宋体" w:cs="宋体"/>
          <w:szCs w:val="24"/>
        </w:rPr>
        <w:t>份，具有同等法律效力，双方各执</w:t>
      </w:r>
      <w:r>
        <w:rPr>
          <w:rFonts w:hint="eastAsia" w:hAnsi="宋体" w:cs="宋体"/>
          <w:szCs w:val="24"/>
          <w:u w:val="single"/>
        </w:rPr>
        <w:t xml:space="preserve">  肆   </w:t>
      </w:r>
      <w:r>
        <w:rPr>
          <w:rFonts w:hint="eastAsia" w:hAnsi="宋体" w:cs="宋体"/>
          <w:szCs w:val="24"/>
        </w:rPr>
        <w:t>份。各方签字盖章后生效。（合同的服务承诺则长期有效）。</w:t>
      </w:r>
    </w:p>
    <w:p w14:paraId="16E697E2">
      <w:pPr>
        <w:adjustRightInd w:val="0"/>
        <w:snapToGrid w:val="0"/>
        <w:spacing w:line="408" w:lineRule="auto"/>
        <w:ind w:firstLine="415" w:firstLineChars="198"/>
        <w:rPr>
          <w:rFonts w:hint="eastAsia" w:hAnsi="宋体" w:cs="宋体"/>
          <w:szCs w:val="24"/>
        </w:rPr>
      </w:pPr>
      <w:r>
        <w:rPr>
          <w:rFonts w:hint="eastAsia" w:hAnsi="宋体" w:cs="宋体"/>
          <w:szCs w:val="24"/>
        </w:rPr>
        <w:t>采购人：</w:t>
      </w:r>
      <w:r>
        <w:rPr>
          <w:rFonts w:hint="eastAsia" w:hAnsi="宋体" w:cs="宋体"/>
          <w:szCs w:val="24"/>
          <w:u w:val="single"/>
        </w:rPr>
        <w:t xml:space="preserve">   （盖章）         </w:t>
      </w:r>
      <w:r>
        <w:rPr>
          <w:rFonts w:hint="eastAsia" w:hAnsi="宋体" w:cs="宋体"/>
          <w:szCs w:val="24"/>
        </w:rPr>
        <w:t xml:space="preserve">       供应商：</w:t>
      </w:r>
      <w:r>
        <w:rPr>
          <w:rFonts w:hint="eastAsia" w:hAnsi="宋体" w:cs="宋体"/>
          <w:szCs w:val="24"/>
          <w:u w:val="single"/>
        </w:rPr>
        <w:t xml:space="preserve">   （盖章）          </w:t>
      </w:r>
    </w:p>
    <w:p w14:paraId="2BF86C32">
      <w:pPr>
        <w:adjustRightInd w:val="0"/>
        <w:snapToGrid w:val="0"/>
        <w:spacing w:line="408" w:lineRule="auto"/>
        <w:ind w:firstLine="415" w:firstLineChars="198"/>
        <w:rPr>
          <w:rFonts w:hint="eastAsia" w:hAnsi="宋体" w:cs="宋体"/>
          <w:szCs w:val="24"/>
        </w:rPr>
      </w:pPr>
      <w:r>
        <w:rPr>
          <w:rFonts w:hint="eastAsia" w:hAnsi="宋体" w:cs="宋体"/>
          <w:szCs w:val="24"/>
        </w:rPr>
        <w:t>地  址：</w:t>
      </w:r>
      <w:r>
        <w:rPr>
          <w:rFonts w:hint="eastAsia" w:hAnsi="宋体" w:cs="宋体"/>
          <w:szCs w:val="24"/>
          <w:u w:val="single"/>
        </w:rPr>
        <w:t xml:space="preserve">                    </w:t>
      </w:r>
      <w:r>
        <w:rPr>
          <w:rFonts w:hint="eastAsia" w:hAnsi="宋体" w:cs="宋体"/>
          <w:szCs w:val="24"/>
        </w:rPr>
        <w:t xml:space="preserve">       地  址：</w:t>
      </w:r>
      <w:r>
        <w:rPr>
          <w:rFonts w:hint="eastAsia" w:hAnsi="宋体" w:cs="宋体"/>
          <w:szCs w:val="24"/>
          <w:u w:val="single"/>
        </w:rPr>
        <w:t xml:space="preserve">                     </w:t>
      </w:r>
    </w:p>
    <w:p w14:paraId="6C6CB398">
      <w:pPr>
        <w:adjustRightInd w:val="0"/>
        <w:snapToGrid w:val="0"/>
        <w:spacing w:line="408" w:lineRule="auto"/>
        <w:ind w:firstLine="420" w:firstLineChars="200"/>
        <w:rPr>
          <w:rFonts w:hint="eastAsia" w:hAnsi="宋体" w:cs="宋体"/>
          <w:szCs w:val="24"/>
        </w:rPr>
      </w:pPr>
      <w:r>
        <w:rPr>
          <w:rFonts w:hint="eastAsia" w:hAnsi="宋体" w:cs="宋体"/>
          <w:szCs w:val="24"/>
        </w:rPr>
        <w:t>邮政编码：</w:t>
      </w:r>
      <w:r>
        <w:rPr>
          <w:rFonts w:hint="eastAsia" w:hAnsi="宋体" w:cs="宋体"/>
          <w:szCs w:val="24"/>
          <w:u w:val="single"/>
        </w:rPr>
        <w:t xml:space="preserve">                  </w:t>
      </w:r>
      <w:r>
        <w:rPr>
          <w:rFonts w:hint="eastAsia" w:hAnsi="宋体" w:cs="宋体"/>
          <w:szCs w:val="24"/>
        </w:rPr>
        <w:t xml:space="preserve">       邮政编码：</w:t>
      </w:r>
      <w:r>
        <w:rPr>
          <w:rFonts w:hint="eastAsia" w:hAnsi="宋体" w:cs="宋体"/>
          <w:szCs w:val="24"/>
          <w:u w:val="single"/>
        </w:rPr>
        <w:t xml:space="preserve">                   </w:t>
      </w:r>
    </w:p>
    <w:p w14:paraId="5DD76EC8">
      <w:pPr>
        <w:adjustRightInd w:val="0"/>
        <w:snapToGrid w:val="0"/>
        <w:spacing w:line="408" w:lineRule="auto"/>
        <w:ind w:firstLine="415" w:firstLineChars="198"/>
        <w:rPr>
          <w:rFonts w:hint="eastAsia" w:hAnsi="宋体" w:cs="宋体"/>
          <w:szCs w:val="24"/>
        </w:rPr>
      </w:pPr>
      <w:r>
        <w:rPr>
          <w:rFonts w:hint="eastAsia" w:hAnsi="宋体" w:cs="宋体"/>
          <w:szCs w:val="24"/>
        </w:rPr>
        <w:t>法定代表人或其授权                 法定代表人或其授权</w:t>
      </w:r>
    </w:p>
    <w:p w14:paraId="51D57CD0">
      <w:pPr>
        <w:adjustRightInd w:val="0"/>
        <w:snapToGrid w:val="0"/>
        <w:spacing w:line="408" w:lineRule="auto"/>
        <w:ind w:firstLine="415" w:firstLineChars="198"/>
        <w:rPr>
          <w:rFonts w:hint="eastAsia" w:hAnsi="宋体" w:cs="宋体"/>
          <w:szCs w:val="24"/>
        </w:rPr>
      </w:pPr>
      <w:r>
        <w:rPr>
          <w:rFonts w:hint="eastAsia" w:hAnsi="宋体" w:cs="宋体"/>
          <w:szCs w:val="24"/>
        </w:rPr>
        <w:t>的代理人：</w:t>
      </w:r>
      <w:r>
        <w:rPr>
          <w:rFonts w:hint="eastAsia" w:hAnsi="宋体" w:cs="宋体"/>
          <w:szCs w:val="24"/>
          <w:u w:val="single"/>
        </w:rPr>
        <w:t xml:space="preserve">（签字）         </w:t>
      </w:r>
      <w:r>
        <w:rPr>
          <w:rFonts w:hint="eastAsia" w:hAnsi="宋体" w:cs="宋体"/>
          <w:szCs w:val="24"/>
        </w:rPr>
        <w:t xml:space="preserve">        的代理人：</w:t>
      </w:r>
      <w:r>
        <w:rPr>
          <w:rFonts w:hint="eastAsia" w:hAnsi="宋体" w:cs="宋体"/>
          <w:szCs w:val="24"/>
          <w:u w:val="single"/>
        </w:rPr>
        <w:t xml:space="preserve">（签字）           </w:t>
      </w:r>
    </w:p>
    <w:p w14:paraId="045AE72C">
      <w:pPr>
        <w:adjustRightInd w:val="0"/>
        <w:snapToGrid w:val="0"/>
        <w:spacing w:line="408" w:lineRule="auto"/>
        <w:ind w:left="5250" w:leftChars="200" w:hanging="4830" w:hangingChars="2300"/>
        <w:rPr>
          <w:rFonts w:hint="eastAsia" w:hAnsi="宋体" w:cs="宋体"/>
          <w:szCs w:val="24"/>
        </w:rPr>
      </w:pPr>
      <w:r>
        <w:rPr>
          <w:rFonts w:hint="eastAsia" w:hAnsi="宋体" w:cs="宋体"/>
          <w:szCs w:val="24"/>
        </w:rPr>
        <w:t>开户银行：</w:t>
      </w:r>
      <w:r>
        <w:rPr>
          <w:rFonts w:hint="eastAsia" w:hAnsi="宋体" w:cs="宋体"/>
          <w:szCs w:val="24"/>
          <w:u w:val="single"/>
        </w:rPr>
        <w:t xml:space="preserve">                </w:t>
      </w:r>
      <w:r>
        <w:rPr>
          <w:rFonts w:hint="eastAsia" w:hAnsi="宋体" w:cs="宋体"/>
          <w:szCs w:val="24"/>
        </w:rPr>
        <w:t xml:space="preserve">         开户银行：</w:t>
      </w:r>
      <w:r>
        <w:rPr>
          <w:rFonts w:hint="eastAsia" w:hAnsi="宋体" w:cs="宋体"/>
          <w:szCs w:val="24"/>
          <w:u w:val="single"/>
        </w:rPr>
        <w:t xml:space="preserve">                   </w:t>
      </w:r>
    </w:p>
    <w:p w14:paraId="64C42B2A">
      <w:pPr>
        <w:adjustRightInd w:val="0"/>
        <w:snapToGrid w:val="0"/>
        <w:spacing w:line="408" w:lineRule="auto"/>
        <w:ind w:firstLine="415" w:firstLineChars="198"/>
        <w:rPr>
          <w:rFonts w:hint="eastAsia" w:hAnsi="宋体" w:cs="宋体"/>
          <w:szCs w:val="24"/>
        </w:rPr>
      </w:pPr>
      <w:r>
        <w:rPr>
          <w:rFonts w:hint="eastAsia" w:hAnsi="宋体" w:cs="宋体"/>
          <w:szCs w:val="24"/>
        </w:rPr>
        <w:t>账号：</w:t>
      </w:r>
      <w:r>
        <w:rPr>
          <w:rFonts w:hint="eastAsia" w:hAnsi="宋体" w:cs="宋体"/>
          <w:szCs w:val="24"/>
          <w:u w:val="single"/>
        </w:rPr>
        <w:t xml:space="preserve">                    </w:t>
      </w:r>
      <w:r>
        <w:rPr>
          <w:rFonts w:hint="eastAsia" w:hAnsi="宋体" w:cs="宋体"/>
          <w:szCs w:val="24"/>
        </w:rPr>
        <w:t xml:space="preserve">         账号：</w:t>
      </w:r>
      <w:r>
        <w:rPr>
          <w:rFonts w:hint="eastAsia" w:hAnsi="宋体" w:cs="宋体"/>
          <w:szCs w:val="24"/>
          <w:u w:val="single"/>
        </w:rPr>
        <w:t xml:space="preserve">                       </w:t>
      </w:r>
    </w:p>
    <w:p w14:paraId="18D67C07">
      <w:pPr>
        <w:adjustRightInd w:val="0"/>
        <w:snapToGrid w:val="0"/>
        <w:spacing w:line="408" w:lineRule="auto"/>
        <w:ind w:firstLine="415" w:firstLineChars="198"/>
        <w:rPr>
          <w:rFonts w:hint="eastAsia" w:hAnsi="宋体" w:cs="宋体"/>
          <w:szCs w:val="24"/>
        </w:rPr>
      </w:pPr>
      <w:r>
        <w:rPr>
          <w:rFonts w:hint="eastAsia" w:hAnsi="宋体" w:cs="宋体"/>
          <w:szCs w:val="24"/>
        </w:rPr>
        <w:t>电话：</w:t>
      </w:r>
      <w:r>
        <w:rPr>
          <w:rFonts w:hint="eastAsia" w:hAnsi="宋体" w:cs="宋体"/>
          <w:szCs w:val="24"/>
          <w:u w:val="single"/>
        </w:rPr>
        <w:t xml:space="preserve">                    </w:t>
      </w:r>
      <w:r>
        <w:rPr>
          <w:rFonts w:hint="eastAsia" w:hAnsi="宋体" w:cs="宋体"/>
          <w:szCs w:val="24"/>
        </w:rPr>
        <w:t xml:space="preserve">         电话：</w:t>
      </w:r>
      <w:r>
        <w:rPr>
          <w:rFonts w:hint="eastAsia" w:hAnsi="宋体" w:cs="宋体"/>
          <w:szCs w:val="24"/>
          <w:u w:val="single"/>
        </w:rPr>
        <w:t xml:space="preserve">                       </w:t>
      </w:r>
    </w:p>
    <w:p w14:paraId="540921C6">
      <w:r>
        <w:br w:type="page"/>
      </w:r>
    </w:p>
    <w:p w14:paraId="08055775">
      <w:pPr>
        <w:ind w:firstLine="320" w:firstLineChars="100"/>
        <w:rPr>
          <w:rFonts w:ascii="宋体" w:hAnsi="宋体" w:eastAsia="宋体" w:cs="宋体"/>
          <w:color w:val="000000"/>
          <w:spacing w:val="30"/>
          <w:kern w:val="0"/>
          <w:sz w:val="24"/>
          <w:szCs w:val="24"/>
          <w:lang w:val="en-US" w:eastAsia="zh-CN" w:bidi="ar"/>
        </w:rPr>
      </w:pPr>
      <w:r>
        <w:rPr>
          <w:rFonts w:hint="eastAsia" w:ascii="黑体" w:hAnsi="黑体" w:eastAsia="黑体" w:cs="黑体"/>
          <w:color w:val="333333"/>
          <w:sz w:val="32"/>
          <w:szCs w:val="32"/>
          <w:shd w:val="clear" w:color="auto" w:fill="FFFFFF"/>
        </w:rPr>
        <w:t>附件</w:t>
      </w:r>
      <w:r>
        <w:rPr>
          <w:rFonts w:hint="eastAsia" w:ascii="黑体" w:hAnsi="黑体" w:eastAsia="黑体" w:cs="黑体"/>
          <w:color w:val="333333"/>
          <w:sz w:val="32"/>
          <w:szCs w:val="32"/>
          <w:shd w:val="clear" w:color="auto" w:fill="FFFFFF"/>
          <w:lang w:val="en-US" w:eastAsia="zh-CN"/>
        </w:rPr>
        <w:t>1</w:t>
      </w:r>
    </w:p>
    <w:p w14:paraId="1EA6936B">
      <w:pPr>
        <w:pStyle w:val="11"/>
        <w:widowControl/>
        <w:shd w:val="clear" w:color="auto" w:fill="FFFFFF"/>
        <w:spacing w:before="0" w:beforeAutospacing="0" w:after="0" w:afterAutospacing="0" w:line="560" w:lineRule="exact"/>
        <w:jc w:val="center"/>
        <w:rPr>
          <w:rFonts w:hint="eastAsia" w:ascii="仿宋_GB2312" w:hAnsi="仿宋_GB2312" w:eastAsia="仿宋_GB2312" w:cs="仿宋_GB2312"/>
          <w:color w:val="333333"/>
          <w:sz w:val="32"/>
          <w:szCs w:val="32"/>
          <w:shd w:val="clear" w:color="auto" w:fill="FFFFFF"/>
          <w:lang w:val="en-US" w:eastAsia="zh-CN"/>
        </w:rPr>
      </w:pPr>
      <w:r>
        <w:rPr>
          <w:rFonts w:hint="eastAsia" w:ascii="仿宋_GB2312" w:hAnsi="仿宋_GB2312" w:eastAsia="仿宋_GB2312" w:cs="仿宋_GB2312"/>
          <w:color w:val="333333"/>
          <w:kern w:val="0"/>
          <w:sz w:val="32"/>
          <w:szCs w:val="32"/>
          <w:shd w:val="clear" w:color="auto" w:fill="FFFFFF"/>
          <w:lang w:bidi="ar"/>
        </w:rPr>
        <w:t>“政采贷”业务介绍</w:t>
      </w:r>
    </w:p>
    <w:p w14:paraId="74672EDA">
      <w:pPr>
        <w:pStyle w:val="11"/>
        <w:widowControl/>
        <w:shd w:val="clear" w:color="auto" w:fill="FFFFFF"/>
        <w:spacing w:before="0" w:beforeAutospacing="0" w:after="0" w:afterAutospacing="0" w:line="560" w:lineRule="exact"/>
        <w:ind w:firstLine="640" w:firstLineChars="200"/>
        <w:jc w:val="both"/>
        <w:rPr>
          <w:rFonts w:hint="eastAsia" w:ascii="仿宋_GB2312" w:hAnsi="仿宋_GB2312" w:eastAsia="仿宋_GB2312" w:cs="仿宋_GB2312"/>
          <w:color w:val="333333"/>
          <w:sz w:val="32"/>
          <w:szCs w:val="32"/>
          <w:shd w:val="clear" w:color="auto" w:fill="FFFFFF"/>
          <w:lang w:val="en-US" w:eastAsia="zh-CN"/>
        </w:rPr>
      </w:pPr>
      <w:r>
        <w:rPr>
          <w:rFonts w:hint="eastAsia" w:ascii="仿宋_GB2312" w:hAnsi="仿宋_GB2312" w:eastAsia="仿宋_GB2312" w:cs="仿宋_GB2312"/>
          <w:color w:val="333333"/>
          <w:sz w:val="32"/>
          <w:szCs w:val="32"/>
          <w:shd w:val="clear" w:color="auto" w:fill="FFFFFF"/>
          <w:lang w:val="en-US" w:eastAsia="zh-CN"/>
        </w:rPr>
        <w:t>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644198C5">
      <w:pPr>
        <w:pStyle w:val="11"/>
        <w:widowControl/>
        <w:shd w:val="clear" w:color="auto" w:fill="FFFFFF"/>
        <w:spacing w:before="0" w:beforeAutospacing="0" w:after="0" w:afterAutospacing="0" w:line="560" w:lineRule="exact"/>
        <w:ind w:firstLine="420"/>
        <w:jc w:val="both"/>
        <w:rPr>
          <w:rFonts w:hint="eastAsia" w:ascii="仿宋_GB2312" w:hAnsi="仿宋_GB2312" w:eastAsia="仿宋_GB2312" w:cs="仿宋_GB2312"/>
          <w:color w:val="333333"/>
          <w:sz w:val="32"/>
          <w:szCs w:val="32"/>
          <w:shd w:val="clear" w:color="auto" w:fill="FFFFFF"/>
        </w:rPr>
      </w:pPr>
    </w:p>
    <w:p w14:paraId="5B938A4A">
      <w:pPr>
        <w:pStyle w:val="11"/>
        <w:widowControl/>
        <w:shd w:val="clear" w:color="auto" w:fill="FFFFFF"/>
        <w:spacing w:before="0" w:beforeAutospacing="0" w:after="0" w:afterAutospacing="0" w:line="560" w:lineRule="exact"/>
        <w:ind w:firstLine="420"/>
        <w:jc w:val="both"/>
        <w:rPr>
          <w:rFonts w:hint="eastAsia" w:ascii="仿宋_GB2312" w:hAnsi="仿宋_GB2312" w:eastAsia="仿宋_GB2312" w:cs="仿宋_GB2312"/>
          <w:color w:val="333333"/>
          <w:sz w:val="32"/>
          <w:szCs w:val="32"/>
          <w:shd w:val="clear" w:color="auto" w:fill="FFFFFF"/>
        </w:rPr>
      </w:pPr>
    </w:p>
    <w:p w14:paraId="2B37AF5C">
      <w:pPr>
        <w:pStyle w:val="11"/>
        <w:widowControl/>
        <w:shd w:val="clear" w:color="auto" w:fill="FFFFFF"/>
        <w:spacing w:before="0" w:beforeAutospacing="0" w:after="0" w:afterAutospacing="0" w:line="560" w:lineRule="exact"/>
        <w:ind w:firstLine="420"/>
        <w:jc w:val="both"/>
        <w:rPr>
          <w:rFonts w:hint="eastAsia" w:ascii="仿宋_GB2312" w:hAnsi="仿宋_GB2312" w:eastAsia="仿宋_GB2312" w:cs="仿宋_GB2312"/>
          <w:color w:val="333333"/>
          <w:sz w:val="32"/>
          <w:szCs w:val="32"/>
          <w:shd w:val="clear" w:color="auto" w:fill="FFFFFF"/>
        </w:rPr>
      </w:pPr>
    </w:p>
    <w:p w14:paraId="1C76218D">
      <w:pPr>
        <w:pStyle w:val="11"/>
        <w:widowControl/>
        <w:shd w:val="clear" w:color="auto" w:fill="FFFFFF"/>
        <w:spacing w:before="0" w:beforeAutospacing="0" w:after="0" w:afterAutospacing="0" w:line="560" w:lineRule="exact"/>
        <w:ind w:firstLine="420"/>
        <w:jc w:val="both"/>
        <w:rPr>
          <w:rFonts w:hint="eastAsia" w:ascii="仿宋_GB2312" w:hAnsi="仿宋_GB2312" w:eastAsia="仿宋_GB2312" w:cs="仿宋_GB2312"/>
          <w:color w:val="333333"/>
          <w:sz w:val="32"/>
          <w:szCs w:val="32"/>
          <w:shd w:val="clear" w:color="auto" w:fill="FFFFFF"/>
        </w:rPr>
      </w:pPr>
    </w:p>
    <w:p w14:paraId="5CA4DAA4">
      <w:pPr>
        <w:pStyle w:val="11"/>
        <w:widowControl/>
        <w:shd w:val="clear" w:color="auto" w:fill="FFFFFF"/>
        <w:spacing w:before="0" w:beforeAutospacing="0" w:after="0" w:afterAutospacing="0" w:line="560" w:lineRule="exact"/>
        <w:ind w:firstLine="420"/>
        <w:jc w:val="both"/>
        <w:rPr>
          <w:rFonts w:hint="eastAsia" w:ascii="仿宋_GB2312" w:hAnsi="仿宋_GB2312" w:eastAsia="仿宋_GB2312" w:cs="仿宋_GB2312"/>
          <w:color w:val="333333"/>
          <w:sz w:val="32"/>
          <w:szCs w:val="32"/>
          <w:shd w:val="clear" w:color="auto" w:fill="FFFFFF"/>
        </w:rPr>
      </w:pPr>
    </w:p>
    <w:p w14:paraId="2B889C31">
      <w:pPr>
        <w:ind w:firstLine="320" w:firstLineChars="100"/>
        <w:rPr>
          <w:rFonts w:hint="eastAsia" w:ascii="黑体" w:hAnsi="黑体" w:eastAsia="黑体" w:cs="黑体"/>
          <w:color w:val="333333"/>
          <w:sz w:val="32"/>
          <w:szCs w:val="32"/>
          <w:shd w:val="clear" w:color="auto" w:fill="FFFFFF"/>
        </w:rPr>
      </w:pPr>
    </w:p>
    <w:p w14:paraId="07F01C6A">
      <w:pPr>
        <w:ind w:firstLine="320" w:firstLineChars="100"/>
        <w:rPr>
          <w:rFonts w:hint="eastAsia" w:ascii="黑体" w:hAnsi="黑体" w:eastAsia="黑体" w:cs="黑体"/>
          <w:color w:val="333333"/>
          <w:sz w:val="32"/>
          <w:szCs w:val="32"/>
          <w:shd w:val="clear" w:color="auto" w:fill="FFFFFF"/>
        </w:rPr>
      </w:pPr>
    </w:p>
    <w:p w14:paraId="611E1C98">
      <w:pPr>
        <w:ind w:firstLine="320" w:firstLineChars="100"/>
        <w:rPr>
          <w:rFonts w:hint="eastAsia" w:ascii="黑体" w:hAnsi="黑体" w:eastAsia="黑体" w:cs="黑体"/>
          <w:color w:val="333333"/>
          <w:sz w:val="32"/>
          <w:szCs w:val="32"/>
          <w:shd w:val="clear" w:color="auto" w:fill="FFFFFF"/>
        </w:rPr>
      </w:pPr>
    </w:p>
    <w:p w14:paraId="592CA1E8">
      <w:pPr>
        <w:ind w:firstLine="320" w:firstLineChars="100"/>
        <w:rPr>
          <w:rFonts w:hint="eastAsia" w:ascii="黑体" w:hAnsi="黑体" w:eastAsia="黑体" w:cs="黑体"/>
          <w:color w:val="333333"/>
          <w:sz w:val="32"/>
          <w:szCs w:val="32"/>
          <w:shd w:val="clear" w:color="auto" w:fill="FFFFFF"/>
        </w:rPr>
      </w:pPr>
    </w:p>
    <w:p w14:paraId="21872D6B">
      <w:pPr>
        <w:ind w:firstLine="320" w:firstLineChars="100"/>
        <w:rPr>
          <w:rFonts w:hint="eastAsia" w:ascii="黑体" w:hAnsi="黑体" w:eastAsia="黑体" w:cs="黑体"/>
          <w:color w:val="333333"/>
          <w:sz w:val="32"/>
          <w:szCs w:val="32"/>
          <w:shd w:val="clear" w:color="auto" w:fill="FFFFFF"/>
        </w:rPr>
      </w:pPr>
    </w:p>
    <w:p w14:paraId="70AC39BB">
      <w:pPr>
        <w:ind w:firstLine="320" w:firstLineChars="100"/>
        <w:rPr>
          <w:rFonts w:hint="eastAsia" w:ascii="黑体" w:hAnsi="黑体" w:eastAsia="黑体" w:cs="黑体"/>
          <w:color w:val="333333"/>
          <w:sz w:val="32"/>
          <w:szCs w:val="32"/>
          <w:shd w:val="clear" w:color="auto" w:fill="FFFFFF"/>
        </w:rPr>
      </w:pPr>
    </w:p>
    <w:p w14:paraId="1F841EDE">
      <w:pPr>
        <w:ind w:firstLine="320" w:firstLineChars="100"/>
        <w:rPr>
          <w:rFonts w:hint="eastAsia" w:ascii="黑体" w:hAnsi="黑体" w:eastAsia="黑体" w:cs="黑体"/>
          <w:color w:val="333333"/>
          <w:sz w:val="32"/>
          <w:szCs w:val="32"/>
          <w:shd w:val="clear" w:color="auto" w:fill="FFFFFF"/>
        </w:rPr>
      </w:pPr>
    </w:p>
    <w:p w14:paraId="5279BB60">
      <w:pPr>
        <w:ind w:firstLine="320" w:firstLineChars="100"/>
        <w:rPr>
          <w:rFonts w:hint="eastAsia" w:ascii="黑体" w:hAnsi="黑体" w:eastAsia="黑体" w:cs="黑体"/>
          <w:color w:val="333333"/>
          <w:sz w:val="32"/>
          <w:szCs w:val="32"/>
          <w:shd w:val="clear" w:color="auto" w:fill="FFFFFF"/>
        </w:rPr>
      </w:pPr>
    </w:p>
    <w:p w14:paraId="78B69D75">
      <w:pPr>
        <w:ind w:firstLine="320" w:firstLineChars="100"/>
        <w:rPr>
          <w:rFonts w:hint="eastAsia" w:ascii="黑体" w:hAnsi="黑体" w:eastAsia="黑体" w:cs="黑体"/>
          <w:color w:val="333333"/>
          <w:sz w:val="32"/>
          <w:szCs w:val="32"/>
          <w:shd w:val="clear" w:color="auto" w:fill="FFFFFF"/>
        </w:rPr>
      </w:pPr>
    </w:p>
    <w:p w14:paraId="5BE1C463">
      <w:pPr>
        <w:ind w:firstLine="320" w:firstLineChars="100"/>
        <w:rPr>
          <w:rFonts w:hint="eastAsia" w:ascii="黑体" w:hAnsi="黑体" w:eastAsia="黑体" w:cs="黑体"/>
          <w:color w:val="333333"/>
          <w:sz w:val="32"/>
          <w:szCs w:val="32"/>
          <w:shd w:val="clear" w:color="auto" w:fill="FFFFFF"/>
          <w:lang w:eastAsia="zh-CN"/>
        </w:rPr>
      </w:pPr>
      <w:r>
        <w:rPr>
          <w:rFonts w:hint="eastAsia" w:ascii="黑体" w:hAnsi="黑体" w:eastAsia="黑体" w:cs="黑体"/>
          <w:color w:val="333333"/>
          <w:sz w:val="32"/>
          <w:szCs w:val="32"/>
          <w:shd w:val="clear" w:color="auto" w:fill="FFFFFF"/>
        </w:rPr>
        <w:t>附件</w:t>
      </w:r>
      <w:r>
        <w:rPr>
          <w:rFonts w:hint="eastAsia" w:ascii="黑体" w:hAnsi="黑体" w:eastAsia="黑体" w:cs="黑体"/>
          <w:color w:val="333333"/>
          <w:sz w:val="32"/>
          <w:szCs w:val="32"/>
          <w:shd w:val="clear" w:color="auto" w:fill="FFFFFF"/>
          <w:lang w:val="en-US" w:eastAsia="zh-CN"/>
        </w:rPr>
        <w:t>2</w:t>
      </w:r>
    </w:p>
    <w:p w14:paraId="5EAD6FEA">
      <w:pPr>
        <w:jc w:val="center"/>
        <w:rPr>
          <w:rFonts w:hint="eastAsia" w:ascii="仿宋_GB2312" w:hAnsi="仿宋_GB2312" w:eastAsia="仿宋_GB2312" w:cs="仿宋_GB2312"/>
          <w:b/>
          <w:bCs/>
          <w:spacing w:val="-4"/>
          <w:w w:val="95"/>
          <w:kern w:val="2"/>
          <w:sz w:val="28"/>
          <w:szCs w:val="28"/>
          <w:lang w:val="en-US" w:eastAsia="zh-CN" w:bidi="ar-SA"/>
        </w:rPr>
      </w:pPr>
      <w:r>
        <w:rPr>
          <w:rFonts w:hint="eastAsia" w:ascii="仿宋_GB2312" w:hAnsi="仿宋_GB2312" w:eastAsia="仿宋_GB2312" w:cs="仿宋_GB2312"/>
          <w:b/>
          <w:bCs/>
          <w:spacing w:val="-4"/>
          <w:w w:val="95"/>
          <w:kern w:val="2"/>
          <w:sz w:val="28"/>
          <w:szCs w:val="28"/>
          <w:lang w:val="en-US" w:eastAsia="zh-CN" w:bidi="ar-SA"/>
        </w:rPr>
        <w:t>陕西政府采购供应商信用融资信息服务平台操作手册</w:t>
      </w:r>
    </w:p>
    <w:p w14:paraId="3BF60746">
      <w:pPr>
        <w:pStyle w:val="7"/>
        <w:autoSpaceDE w:val="0"/>
        <w:autoSpaceDN w:val="0"/>
        <w:spacing w:line="590" w:lineRule="exact"/>
        <w:ind w:firstLine="516" w:firstLineChars="200"/>
        <w:rPr>
          <w:rFonts w:hint="eastAsia" w:ascii="仿宋_GB2312" w:hAnsi="仿宋_GB2312" w:eastAsia="仿宋_GB2312" w:cs="仿宋_GB2312"/>
          <w:sz w:val="28"/>
          <w:szCs w:val="28"/>
        </w:rPr>
      </w:pPr>
      <w:r>
        <w:rPr>
          <w:rFonts w:hint="eastAsia" w:ascii="仿宋_GB2312" w:hAnsi="仿宋_GB2312" w:eastAsia="仿宋_GB2312" w:cs="仿宋_GB2312"/>
          <w:spacing w:val="-4"/>
          <w:w w:val="95"/>
          <w:sz w:val="28"/>
          <w:szCs w:val="28"/>
        </w:rPr>
        <w:t>陕西政府采购供应商信用融资信息服务平台主要功能为：供应商凭中标项目或成交合</w:t>
      </w:r>
      <w:r>
        <w:rPr>
          <w:rFonts w:hint="eastAsia" w:ascii="仿宋_GB2312" w:hAnsi="仿宋_GB2312" w:eastAsia="仿宋_GB2312" w:cs="仿宋_GB2312"/>
          <w:spacing w:val="-4"/>
          <w:sz w:val="28"/>
          <w:szCs w:val="28"/>
        </w:rPr>
        <w:t>提交融资意向，查看融资申请进度等功能，本操作手册将详细说明这些功能。</w:t>
      </w:r>
    </w:p>
    <w:p w14:paraId="75A0C1BE">
      <w:pPr>
        <w:pStyle w:val="7"/>
        <w:autoSpaceDE w:val="0"/>
        <w:autoSpaceDN w:val="0"/>
        <w:spacing w:line="590" w:lineRule="exact"/>
        <w:ind w:firstLine="588" w:firstLineChars="200"/>
        <w:rPr>
          <w:rFonts w:hint="eastAsia" w:ascii="仿宋_GB2312" w:hAnsi="仿宋_GB2312" w:eastAsia="仿宋_GB2312" w:cs="仿宋_GB2312"/>
          <w:sz w:val="28"/>
          <w:szCs w:val="28"/>
        </w:rPr>
      </w:pPr>
      <w:r>
        <w:rPr>
          <w:rFonts w:hint="eastAsia" w:ascii="仿宋_GB2312" w:hAnsi="仿宋_GB2312" w:eastAsia="仿宋_GB2312" w:cs="仿宋_GB2312"/>
          <w:w w:val="105"/>
          <w:sz w:val="28"/>
          <w:szCs w:val="28"/>
        </w:rPr>
        <w:t>1、首页</w:t>
      </w:r>
    </w:p>
    <w:p w14:paraId="44A12E42">
      <w:pPr>
        <w:pStyle w:val="7"/>
        <w:autoSpaceDE w:val="0"/>
        <w:autoSpaceDN w:val="0"/>
        <w:spacing w:line="590" w:lineRule="exact"/>
        <w:ind w:firstLine="516" w:firstLineChars="200"/>
        <w:rPr>
          <w:rFonts w:hint="eastAsia" w:ascii="仿宋_GB2312" w:hAnsi="仿宋_GB2312" w:eastAsia="仿宋_GB2312" w:cs="仿宋_GB2312"/>
          <w:sz w:val="28"/>
          <w:szCs w:val="28"/>
        </w:rPr>
      </w:pPr>
      <w:r>
        <w:rPr>
          <w:rFonts w:hint="eastAsia" w:ascii="仿宋_GB2312" w:hAnsi="仿宋_GB2312" w:eastAsia="仿宋_GB2312" w:cs="仿宋_GB2312"/>
          <w:spacing w:val="-4"/>
          <w:w w:val="95"/>
          <w:sz w:val="28"/>
          <w:szCs w:val="28"/>
        </w:rPr>
        <w:t>平台首页主要呈现陕西政府采购信用融资相关政策法规、基本操作流程及供应商帮助</w:t>
      </w:r>
      <w:r>
        <w:rPr>
          <w:rFonts w:hint="eastAsia" w:ascii="仿宋_GB2312" w:hAnsi="仿宋_GB2312" w:eastAsia="仿宋_GB2312" w:cs="仿宋_GB2312"/>
          <w:spacing w:val="-4"/>
          <w:sz w:val="28"/>
          <w:szCs w:val="28"/>
        </w:rPr>
        <w:t>内容，供应商企业可由登录注册模块登录平台。</w:t>
      </w:r>
    </w:p>
    <w:p w14:paraId="202BB701">
      <w:pPr>
        <w:pStyle w:val="7"/>
        <w:autoSpaceDE w:val="0"/>
        <w:autoSpaceDN w:val="0"/>
        <w:spacing w:line="590" w:lineRule="exact"/>
        <w:ind w:firstLine="560" w:firstLineChars="200"/>
        <w:jc w:val="left"/>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2、登录</w:t>
      </w:r>
    </w:p>
    <w:p w14:paraId="7182718C">
      <w:pPr>
        <w:pStyle w:val="7"/>
        <w:autoSpaceDE w:val="0"/>
        <w:autoSpaceDN w:val="0"/>
        <w:spacing w:line="590" w:lineRule="exact"/>
        <w:jc w:val="left"/>
        <w:rPr>
          <w:rFonts w:hint="eastAsia" w:ascii="仿宋_GB2312" w:hAnsi="仿宋_GB2312" w:eastAsia="仿宋_GB2312" w:cs="仿宋_GB2312"/>
          <w:sz w:val="28"/>
          <w:szCs w:val="28"/>
        </w:rPr>
      </w:pPr>
      <w:r>
        <w:rPr>
          <w:rFonts w:hint="eastAsia" w:ascii="仿宋_GB2312" w:hAnsi="仿宋_GB2312" w:eastAsia="仿宋_GB2312" w:cs="仿宋_GB2312"/>
          <w:spacing w:val="-5"/>
          <w:w w:val="95"/>
          <w:sz w:val="28"/>
          <w:szCs w:val="28"/>
        </w:rPr>
        <w:t xml:space="preserve">    陕西政府采购网的中标企业可用手机号注册用户，注册时需要填写企业名称及社会统</w:t>
      </w:r>
      <w:r>
        <w:rPr>
          <w:rFonts w:hint="eastAsia" w:ascii="仿宋_GB2312" w:hAnsi="仿宋_GB2312" w:eastAsia="仿宋_GB2312" w:cs="仿宋_GB2312"/>
          <w:spacing w:val="-5"/>
          <w:sz w:val="28"/>
          <w:szCs w:val="28"/>
        </w:rPr>
        <w:t>一信用代码等信息，如下图：</w:t>
      </w:r>
    </w:p>
    <w:p w14:paraId="0C1101A9">
      <w:pPr>
        <w:pStyle w:val="7"/>
        <w:rPr>
          <w:rFonts w:hint="eastAsia" w:ascii="宋体" w:hAnsi="宋体" w:cs="宋体"/>
          <w:sz w:val="28"/>
          <w:szCs w:val="28"/>
        </w:rPr>
      </w:pPr>
      <w:r>
        <w:rPr>
          <w:rFonts w:hint="eastAsia" w:ascii="宋体" w:hAnsi="宋体" w:cs="宋体"/>
          <w:sz w:val="28"/>
          <w:szCs w:val="28"/>
        </w:rPr>
        <w:drawing>
          <wp:inline distT="0" distB="0" distL="114300" distR="114300">
            <wp:extent cx="5478780" cy="3080385"/>
            <wp:effectExtent l="0" t="0" r="7620" b="5715"/>
            <wp:docPr id="1" name="图片 1" descr="mmexport1630048836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mmexport1630048836254"/>
                    <pic:cNvPicPr>
                      <a:picLocks noChangeAspect="1"/>
                    </pic:cNvPicPr>
                  </pic:nvPicPr>
                  <pic:blipFill>
                    <a:blip r:embed="rId6"/>
                    <a:stretch>
                      <a:fillRect/>
                    </a:stretch>
                  </pic:blipFill>
                  <pic:spPr>
                    <a:xfrm>
                      <a:off x="0" y="0"/>
                      <a:ext cx="5478780" cy="3080385"/>
                    </a:xfrm>
                    <a:prstGeom prst="rect">
                      <a:avLst/>
                    </a:prstGeom>
                    <a:noFill/>
                    <a:ln>
                      <a:noFill/>
                    </a:ln>
                  </pic:spPr>
                </pic:pic>
              </a:graphicData>
            </a:graphic>
          </wp:inline>
        </w:drawing>
      </w:r>
    </w:p>
    <w:p w14:paraId="50794D96">
      <w:pPr>
        <w:pStyle w:val="7"/>
        <w:spacing w:before="69"/>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 xml:space="preserve">     </w:t>
      </w:r>
    </w:p>
    <w:p w14:paraId="244ECA89">
      <w:pPr>
        <w:pStyle w:val="7"/>
        <w:spacing w:before="69"/>
        <w:rPr>
          <w:rFonts w:hint="eastAsia" w:ascii="宋体" w:hAnsi="宋体" w:cs="宋体"/>
          <w:sz w:val="28"/>
          <w:szCs w:val="28"/>
        </w:rPr>
      </w:pPr>
      <w:r>
        <w:rPr>
          <w:rFonts w:hint="eastAsia" w:ascii="仿宋_GB2312" w:hAnsi="仿宋_GB2312" w:eastAsia="仿宋_GB2312" w:cs="仿宋_GB2312"/>
          <w:sz w:val="28"/>
          <w:szCs w:val="28"/>
        </w:rPr>
        <w:t>注册成功后，凭手机登录平台，如下图，点击首页：</w:t>
      </w:r>
    </w:p>
    <w:p w14:paraId="7AC99476">
      <w:pPr>
        <w:pStyle w:val="7"/>
        <w:spacing w:before="1"/>
        <w:rPr>
          <w:rFonts w:hint="eastAsia" w:ascii="宋体" w:hAnsi="宋体" w:cs="宋体"/>
          <w:sz w:val="28"/>
          <w:szCs w:val="28"/>
        </w:rPr>
      </w:pPr>
      <w:r>
        <w:rPr>
          <w:rFonts w:hint="eastAsia" w:ascii="宋体" w:hAnsi="宋体" w:cs="宋体"/>
          <w:sz w:val="28"/>
          <w:szCs w:val="28"/>
        </w:rPr>
        <w:drawing>
          <wp:inline distT="0" distB="0" distL="114300" distR="114300">
            <wp:extent cx="5478780" cy="3080385"/>
            <wp:effectExtent l="0" t="0" r="7620" b="5715"/>
            <wp:docPr id="2"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
                    <pic:cNvPicPr>
                      <a:picLocks noChangeAspect="1"/>
                    </pic:cNvPicPr>
                  </pic:nvPicPr>
                  <pic:blipFill>
                    <a:blip r:embed="rId7"/>
                    <a:stretch>
                      <a:fillRect/>
                    </a:stretch>
                  </pic:blipFill>
                  <pic:spPr>
                    <a:xfrm>
                      <a:off x="0" y="0"/>
                      <a:ext cx="5478780" cy="3080385"/>
                    </a:xfrm>
                    <a:prstGeom prst="rect">
                      <a:avLst/>
                    </a:prstGeom>
                    <a:noFill/>
                    <a:ln>
                      <a:noFill/>
                    </a:ln>
                  </pic:spPr>
                </pic:pic>
              </a:graphicData>
            </a:graphic>
          </wp:inline>
        </w:drawing>
      </w:r>
    </w:p>
    <w:p w14:paraId="47010F5C">
      <w:pPr>
        <w:pStyle w:val="7"/>
        <w:autoSpaceDE w:val="0"/>
        <w:autoSpaceDN w:val="0"/>
        <w:ind w:firstLine="560" w:firstLineChars="200"/>
        <w:jc w:val="left"/>
        <w:rPr>
          <w:rFonts w:hint="eastAsia" w:ascii="宋体" w:hAnsi="宋体" w:cs="宋体"/>
          <w:sz w:val="28"/>
          <w:szCs w:val="28"/>
        </w:rPr>
      </w:pPr>
      <w:r>
        <w:rPr>
          <w:rFonts w:hint="eastAsia" w:ascii="仿宋_GB2312" w:hAnsi="仿宋_GB2312" w:eastAsia="仿宋_GB2312" w:cs="仿宋_GB2312"/>
          <w:sz w:val="28"/>
          <w:szCs w:val="28"/>
        </w:rPr>
        <w:t>3.点击“可融资项目/合同”，再点击申请贷款：</w:t>
      </w:r>
      <w:r>
        <w:rPr>
          <w:rFonts w:hint="eastAsia" w:ascii="宋体" w:hAnsi="宋体" w:cs="宋体"/>
          <w:sz w:val="28"/>
          <w:szCs w:val="28"/>
        </w:rPr>
        <w:drawing>
          <wp:inline distT="0" distB="0" distL="114300" distR="114300">
            <wp:extent cx="5464175" cy="3072130"/>
            <wp:effectExtent l="0" t="0" r="3175" b="13970"/>
            <wp:docPr id="3" name="图片 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5"/>
                    <pic:cNvPicPr>
                      <a:picLocks noChangeAspect="1"/>
                    </pic:cNvPicPr>
                  </pic:nvPicPr>
                  <pic:blipFill>
                    <a:blip r:embed="rId8"/>
                    <a:stretch>
                      <a:fillRect/>
                    </a:stretch>
                  </pic:blipFill>
                  <pic:spPr>
                    <a:xfrm>
                      <a:off x="0" y="0"/>
                      <a:ext cx="5464175" cy="3072130"/>
                    </a:xfrm>
                    <a:prstGeom prst="rect">
                      <a:avLst/>
                    </a:prstGeom>
                    <a:noFill/>
                    <a:ln>
                      <a:noFill/>
                    </a:ln>
                  </pic:spPr>
                </pic:pic>
              </a:graphicData>
            </a:graphic>
          </wp:inline>
        </w:drawing>
      </w:r>
    </w:p>
    <w:p w14:paraId="78FF00D5">
      <w:pPr>
        <w:pStyle w:val="7"/>
        <w:rPr>
          <w:rFonts w:hint="eastAsia" w:ascii="宋体" w:hAnsi="宋体" w:cs="宋体"/>
          <w:sz w:val="28"/>
          <w:szCs w:val="28"/>
        </w:rPr>
      </w:pPr>
    </w:p>
    <w:p w14:paraId="2B384DC8">
      <w:pPr>
        <w:pStyle w:val="7"/>
        <w:jc w:val="left"/>
        <w:rPr>
          <w:rFonts w:hint="eastAsia" w:ascii="宋体" w:hAnsi="宋体" w:cs="宋体"/>
          <w:sz w:val="28"/>
          <w:szCs w:val="28"/>
        </w:rPr>
      </w:pPr>
      <w:r>
        <w:rPr>
          <w:rFonts w:hint="eastAsia" w:ascii="仿宋_GB2312" w:hAnsi="仿宋_GB2312" w:eastAsia="仿宋_GB2312" w:cs="仿宋_GB2312"/>
          <w:sz w:val="28"/>
          <w:szCs w:val="28"/>
        </w:rPr>
        <w:t>4.勾选融资意向书：</w:t>
      </w:r>
      <w:r>
        <w:rPr>
          <w:rFonts w:hint="eastAsia" w:ascii="宋体" w:hAnsi="宋体" w:cs="宋体"/>
          <w:sz w:val="28"/>
          <w:szCs w:val="28"/>
        </w:rPr>
        <w:drawing>
          <wp:inline distT="0" distB="0" distL="114300" distR="114300">
            <wp:extent cx="5464175" cy="3072130"/>
            <wp:effectExtent l="0" t="0" r="3175" b="13970"/>
            <wp:docPr id="4" name="图片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4"/>
                    <pic:cNvPicPr>
                      <a:picLocks noChangeAspect="1"/>
                    </pic:cNvPicPr>
                  </pic:nvPicPr>
                  <pic:blipFill>
                    <a:blip r:embed="rId9"/>
                    <a:stretch>
                      <a:fillRect/>
                    </a:stretch>
                  </pic:blipFill>
                  <pic:spPr>
                    <a:xfrm>
                      <a:off x="0" y="0"/>
                      <a:ext cx="5464175" cy="3072130"/>
                    </a:xfrm>
                    <a:prstGeom prst="rect">
                      <a:avLst/>
                    </a:prstGeom>
                    <a:noFill/>
                    <a:ln>
                      <a:noFill/>
                    </a:ln>
                  </pic:spPr>
                </pic:pic>
              </a:graphicData>
            </a:graphic>
          </wp:inline>
        </w:drawing>
      </w:r>
    </w:p>
    <w:p w14:paraId="29FA3A15">
      <w:pPr>
        <w:pStyle w:val="7"/>
        <w:numPr>
          <w:ilvl w:val="0"/>
          <w:numId w:val="2"/>
        </w:numPr>
        <w:ind w:firstLine="560" w:firstLineChars="200"/>
        <w:jc w:val="left"/>
        <w:rPr>
          <w:rFonts w:hint="eastAsia" w:ascii="宋体" w:hAnsi="宋体" w:cs="宋体"/>
          <w:sz w:val="28"/>
          <w:szCs w:val="28"/>
        </w:rPr>
      </w:pPr>
      <w:r>
        <w:rPr>
          <w:rFonts w:hint="eastAsia" w:ascii="仿宋_GB2312" w:hAnsi="仿宋_GB2312" w:eastAsia="仿宋_GB2312" w:cs="仿宋_GB2312"/>
          <w:sz w:val="28"/>
          <w:szCs w:val="28"/>
        </w:rPr>
        <w:t>页面下拉，输入贷款金额、预计用款周期、可接受利率、贷款资金用途，点击保存，选择办理贷款机构所在地，例如：长安区韦曲街道，然后点击下一步。</w:t>
      </w:r>
      <w:r>
        <w:rPr>
          <w:rFonts w:hint="eastAsia" w:ascii="宋体" w:hAnsi="宋体" w:cs="宋体"/>
          <w:sz w:val="28"/>
          <w:szCs w:val="28"/>
        </w:rPr>
        <w:drawing>
          <wp:inline distT="0" distB="0" distL="114300" distR="114300">
            <wp:extent cx="5478780" cy="3080385"/>
            <wp:effectExtent l="0" t="0" r="7620" b="5715"/>
            <wp:docPr id="5" name="图片 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6"/>
                    <pic:cNvPicPr>
                      <a:picLocks noChangeAspect="1"/>
                    </pic:cNvPicPr>
                  </pic:nvPicPr>
                  <pic:blipFill>
                    <a:blip r:embed="rId10"/>
                    <a:stretch>
                      <a:fillRect/>
                    </a:stretch>
                  </pic:blipFill>
                  <pic:spPr>
                    <a:xfrm>
                      <a:off x="0" y="0"/>
                      <a:ext cx="5478780" cy="3080385"/>
                    </a:xfrm>
                    <a:prstGeom prst="rect">
                      <a:avLst/>
                    </a:prstGeom>
                    <a:noFill/>
                    <a:ln>
                      <a:noFill/>
                    </a:ln>
                  </pic:spPr>
                </pic:pic>
              </a:graphicData>
            </a:graphic>
          </wp:inline>
        </w:drawing>
      </w:r>
    </w:p>
    <w:p w14:paraId="063D9D0F">
      <w:pPr>
        <w:pStyle w:val="7"/>
        <w:numPr>
          <w:ilvl w:val="0"/>
          <w:numId w:val="2"/>
        </w:numPr>
        <w:spacing w:before="1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在意向银行列点击提交贷款意向并确定：</w:t>
      </w:r>
    </w:p>
    <w:p w14:paraId="6DE513F4">
      <w:pPr>
        <w:pStyle w:val="7"/>
        <w:spacing w:before="10"/>
        <w:rPr>
          <w:rFonts w:hint="eastAsia" w:ascii="宋体" w:hAnsi="宋体" w:cs="宋体"/>
          <w:sz w:val="28"/>
          <w:szCs w:val="28"/>
        </w:rPr>
      </w:pPr>
      <w:r>
        <w:rPr>
          <w:rFonts w:hint="eastAsia" w:ascii="宋体" w:hAnsi="宋体" w:cs="宋体"/>
          <w:sz w:val="28"/>
          <w:szCs w:val="28"/>
        </w:rPr>
        <w:drawing>
          <wp:inline distT="0" distB="0" distL="114300" distR="114300">
            <wp:extent cx="5478780" cy="3080385"/>
            <wp:effectExtent l="0" t="0" r="7620" b="5715"/>
            <wp:docPr id="6" name="图片 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8"/>
                    <pic:cNvPicPr>
                      <a:picLocks noChangeAspect="1"/>
                    </pic:cNvPicPr>
                  </pic:nvPicPr>
                  <pic:blipFill>
                    <a:blip r:embed="rId11"/>
                    <a:stretch>
                      <a:fillRect/>
                    </a:stretch>
                  </pic:blipFill>
                  <pic:spPr>
                    <a:xfrm>
                      <a:off x="0" y="0"/>
                      <a:ext cx="5478780" cy="3080385"/>
                    </a:xfrm>
                    <a:prstGeom prst="rect">
                      <a:avLst/>
                    </a:prstGeom>
                    <a:noFill/>
                    <a:ln>
                      <a:noFill/>
                    </a:ln>
                  </pic:spPr>
                </pic:pic>
              </a:graphicData>
            </a:graphic>
          </wp:inline>
        </w:drawing>
      </w:r>
    </w:p>
    <w:p w14:paraId="7EA515EC">
      <w:pPr>
        <w:pStyle w:val="7"/>
        <w:spacing w:before="10"/>
        <w:jc w:val="left"/>
        <w:rPr>
          <w:rFonts w:hint="eastAsia" w:ascii="宋体" w:hAnsi="宋体" w:cs="宋体"/>
          <w:sz w:val="28"/>
          <w:szCs w:val="28"/>
        </w:rPr>
      </w:pPr>
      <w:r>
        <w:rPr>
          <w:rFonts w:hint="eastAsia" w:ascii="仿宋_GB2312" w:hAnsi="仿宋_GB2312" w:eastAsia="仿宋_GB2312" w:cs="仿宋_GB2312"/>
          <w:sz w:val="28"/>
          <w:szCs w:val="28"/>
        </w:rPr>
        <w:t>7.在申请进度栏即可查看本笔融资进度：</w:t>
      </w:r>
      <w:r>
        <w:rPr>
          <w:rFonts w:hint="eastAsia" w:ascii="宋体" w:hAnsi="宋体" w:cs="宋体"/>
          <w:sz w:val="28"/>
          <w:szCs w:val="28"/>
        </w:rPr>
        <w:drawing>
          <wp:inline distT="0" distB="0" distL="114300" distR="114300">
            <wp:extent cx="5464175" cy="3072130"/>
            <wp:effectExtent l="0" t="0" r="3175" b="13970"/>
            <wp:docPr id="7" name="图片 7"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0"/>
                    <pic:cNvPicPr>
                      <a:picLocks noChangeAspect="1"/>
                    </pic:cNvPicPr>
                  </pic:nvPicPr>
                  <pic:blipFill>
                    <a:blip r:embed="rId12"/>
                    <a:stretch>
                      <a:fillRect/>
                    </a:stretch>
                  </pic:blipFill>
                  <pic:spPr>
                    <a:xfrm>
                      <a:off x="0" y="0"/>
                      <a:ext cx="5464175" cy="3072130"/>
                    </a:xfrm>
                    <a:prstGeom prst="rect">
                      <a:avLst/>
                    </a:prstGeom>
                    <a:noFill/>
                    <a:ln>
                      <a:noFill/>
                    </a:ln>
                  </pic:spPr>
                </pic:pic>
              </a:graphicData>
            </a:graphic>
          </wp:inline>
        </w:drawing>
      </w:r>
    </w:p>
    <w:p w14:paraId="471DD26F">
      <w:pPr>
        <w:pStyle w:val="7"/>
        <w:ind w:left="122"/>
        <w:rPr>
          <w:rFonts w:hint="eastAsia" w:ascii="宋体" w:hAnsi="宋体" w:cs="宋体"/>
          <w:sz w:val="28"/>
          <w:szCs w:val="28"/>
        </w:rPr>
      </w:pPr>
      <w:r>
        <w:rPr>
          <w:rFonts w:hint="eastAsia" w:ascii="宋体" w:hAnsi="宋体" w:cs="宋体"/>
          <w:sz w:val="28"/>
          <w:szCs w:val="28"/>
        </w:rPr>
        <w:t xml:space="preserve"> </w:t>
      </w:r>
    </w:p>
    <w:p w14:paraId="7589B28A">
      <w:pPr>
        <w:rPr>
          <w:rFonts w:ascii="微软雅黑" w:hAnsi="微软雅黑" w:eastAsia="微软雅黑" w:cs="微软雅黑"/>
          <w:color w:val="333333"/>
          <w:sz w:val="24"/>
          <w:shd w:val="clear" w:color="auto" w:fill="FFFFFF"/>
        </w:rPr>
      </w:pPr>
    </w:p>
    <w:p w14:paraId="6AB5FEE8">
      <w:pPr>
        <w:rPr>
          <w:rFonts w:ascii="微软雅黑" w:hAnsi="微软雅黑" w:eastAsia="微软雅黑" w:cs="微软雅黑"/>
          <w:color w:val="333333"/>
          <w:sz w:val="24"/>
          <w:shd w:val="clear" w:color="auto" w:fill="FFFFFF"/>
        </w:rPr>
      </w:pPr>
    </w:p>
    <w:p w14:paraId="5EB500BF">
      <w:pPr>
        <w:rPr>
          <w:rFonts w:ascii="微软雅黑" w:hAnsi="微软雅黑" w:eastAsia="微软雅黑" w:cs="微软雅黑"/>
          <w:color w:val="333333"/>
          <w:sz w:val="24"/>
          <w:shd w:val="clear" w:color="auto" w:fill="FFFFFF"/>
        </w:rPr>
      </w:pPr>
    </w:p>
    <w:p w14:paraId="12BE703C">
      <w:pPr>
        <w:rPr>
          <w:rFonts w:ascii="微软雅黑" w:hAnsi="微软雅黑" w:eastAsia="微软雅黑" w:cs="微软雅黑"/>
          <w:color w:val="333333"/>
          <w:sz w:val="24"/>
          <w:shd w:val="clear" w:color="auto" w:fill="FFFFFF"/>
        </w:rPr>
      </w:pPr>
    </w:p>
    <w:p w14:paraId="684C2F69">
      <w:pPr>
        <w:ind w:firstLine="320" w:firstLineChars="100"/>
        <w:rPr>
          <w:rFonts w:ascii="微软雅黑" w:hAnsi="微软雅黑" w:eastAsia="微软雅黑" w:cs="微软雅黑"/>
          <w:color w:val="333333"/>
          <w:sz w:val="24"/>
          <w:shd w:val="clear" w:color="auto" w:fill="FFFFFF"/>
        </w:rPr>
      </w:pPr>
      <w:r>
        <w:rPr>
          <w:rFonts w:hint="eastAsia" w:ascii="黑体" w:hAnsi="黑体" w:eastAsia="黑体" w:cs="黑体"/>
          <w:color w:val="333333"/>
          <w:sz w:val="32"/>
          <w:szCs w:val="32"/>
          <w:shd w:val="clear" w:color="auto" w:fill="FFFFFF"/>
        </w:rPr>
        <w:t>附件</w:t>
      </w:r>
      <w:r>
        <w:rPr>
          <w:rFonts w:hint="eastAsia" w:ascii="黑体" w:hAnsi="黑体" w:eastAsia="黑体" w:cs="黑体"/>
          <w:color w:val="333333"/>
          <w:sz w:val="32"/>
          <w:szCs w:val="32"/>
          <w:shd w:val="clear" w:color="auto" w:fill="FFFFFF"/>
          <w:lang w:val="en-US" w:eastAsia="zh-CN"/>
        </w:rPr>
        <w:t>3</w:t>
      </w:r>
    </w:p>
    <w:tbl>
      <w:tblPr>
        <w:tblStyle w:val="13"/>
        <w:tblpPr w:leftFromText="180" w:rightFromText="180" w:vertAnchor="text" w:horzAnchor="page" w:tblpX="1585" w:tblpY="614"/>
        <w:tblOverlap w:val="never"/>
        <w:tblW w:w="8970" w:type="dxa"/>
        <w:tblInd w:w="0" w:type="dxa"/>
        <w:tblLayout w:type="fixed"/>
        <w:tblCellMar>
          <w:top w:w="0" w:type="dxa"/>
          <w:left w:w="108" w:type="dxa"/>
          <w:bottom w:w="0" w:type="dxa"/>
          <w:right w:w="108" w:type="dxa"/>
        </w:tblCellMar>
      </w:tblPr>
      <w:tblGrid>
        <w:gridCol w:w="750"/>
        <w:gridCol w:w="4275"/>
        <w:gridCol w:w="1665"/>
        <w:gridCol w:w="2280"/>
      </w:tblGrid>
      <w:tr w14:paraId="79968106">
        <w:tblPrEx>
          <w:tblCellMar>
            <w:top w:w="0" w:type="dxa"/>
            <w:left w:w="108" w:type="dxa"/>
            <w:bottom w:w="0" w:type="dxa"/>
            <w:right w:w="108" w:type="dxa"/>
          </w:tblCellMar>
        </w:tblPrEx>
        <w:trPr>
          <w:trHeight w:val="1060" w:hRule="atLeast"/>
        </w:trPr>
        <w:tc>
          <w:tcPr>
            <w:tcW w:w="8970" w:type="dxa"/>
            <w:gridSpan w:val="4"/>
            <w:tcBorders>
              <w:top w:val="nil"/>
              <w:left w:val="nil"/>
              <w:bottom w:val="nil"/>
              <w:right w:val="nil"/>
            </w:tcBorders>
            <w:noWrap/>
            <w:vAlign w:val="center"/>
          </w:tcPr>
          <w:p w14:paraId="6FE25A1C">
            <w:pPr>
              <w:keepNext w:val="0"/>
              <w:keepLines w:val="0"/>
              <w:widowControl/>
              <w:suppressLineNumbers w:val="0"/>
              <w:jc w:val="center"/>
              <w:textAlignment w:val="center"/>
              <w:rPr>
                <w:rFonts w:ascii="方正小标宋简体" w:hAnsi="方正小标宋简体" w:eastAsia="方正小标宋简体" w:cs="方正小标宋简体"/>
                <w:i w:val="0"/>
                <w:iCs w:val="0"/>
                <w:color w:val="000000"/>
                <w:sz w:val="36"/>
                <w:szCs w:val="36"/>
                <w:u w:val="none"/>
              </w:rPr>
            </w:pPr>
            <w:r>
              <w:rPr>
                <w:rFonts w:hint="eastAsia" w:ascii="方正小标宋简体" w:hAnsi="方正小标宋简体" w:eastAsia="方正小标宋简体" w:cs="方正小标宋简体"/>
                <w:i w:val="0"/>
                <w:iCs w:val="0"/>
                <w:color w:val="000000"/>
                <w:kern w:val="0"/>
                <w:sz w:val="36"/>
                <w:szCs w:val="36"/>
                <w:u w:val="none"/>
                <w:lang w:val="en-US" w:eastAsia="zh-CN" w:bidi="ar"/>
              </w:rPr>
              <w:t>长安区开展政采贷业务银行联系方式</w:t>
            </w:r>
          </w:p>
        </w:tc>
      </w:tr>
      <w:tr w14:paraId="7ACD0456">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07C95DE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序号</w:t>
            </w:r>
          </w:p>
        </w:tc>
        <w:tc>
          <w:tcPr>
            <w:tcW w:w="4275" w:type="dxa"/>
            <w:tcBorders>
              <w:top w:val="single" w:color="000000" w:sz="4" w:space="0"/>
              <w:left w:val="single" w:color="000000" w:sz="4" w:space="0"/>
              <w:bottom w:val="single" w:color="000000" w:sz="4" w:space="0"/>
              <w:right w:val="single" w:color="000000" w:sz="4" w:space="0"/>
            </w:tcBorders>
            <w:noWrap/>
            <w:vAlign w:val="center"/>
          </w:tcPr>
          <w:p w14:paraId="44077E6C">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银行名称</w:t>
            </w:r>
          </w:p>
        </w:tc>
        <w:tc>
          <w:tcPr>
            <w:tcW w:w="1665" w:type="dxa"/>
            <w:tcBorders>
              <w:top w:val="single" w:color="000000" w:sz="4" w:space="0"/>
              <w:left w:val="single" w:color="000000" w:sz="4" w:space="0"/>
              <w:bottom w:val="single" w:color="000000" w:sz="4" w:space="0"/>
              <w:right w:val="single" w:color="000000" w:sz="4" w:space="0"/>
            </w:tcBorders>
            <w:noWrap/>
            <w:vAlign w:val="center"/>
          </w:tcPr>
          <w:p w14:paraId="4E07F2C8">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联系人</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7F442E25">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电话</w:t>
            </w:r>
          </w:p>
        </w:tc>
      </w:tr>
      <w:tr w14:paraId="6AEA0CBC">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030A026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4275" w:type="dxa"/>
            <w:tcBorders>
              <w:top w:val="single" w:color="000000" w:sz="4" w:space="0"/>
              <w:left w:val="single" w:color="000000" w:sz="4" w:space="0"/>
              <w:bottom w:val="single" w:color="000000" w:sz="4" w:space="0"/>
              <w:right w:val="single" w:color="000000" w:sz="4" w:space="0"/>
            </w:tcBorders>
            <w:noWrap/>
            <w:vAlign w:val="center"/>
          </w:tcPr>
          <w:p w14:paraId="1229D31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中信银行</w:t>
            </w:r>
          </w:p>
        </w:tc>
        <w:tc>
          <w:tcPr>
            <w:tcW w:w="1665" w:type="dxa"/>
            <w:tcBorders>
              <w:top w:val="single" w:color="000000" w:sz="4" w:space="0"/>
              <w:left w:val="single" w:color="000000" w:sz="4" w:space="0"/>
              <w:bottom w:val="single" w:color="000000" w:sz="4" w:space="0"/>
              <w:right w:val="single" w:color="000000" w:sz="4" w:space="0"/>
            </w:tcBorders>
            <w:noWrap/>
            <w:vAlign w:val="center"/>
          </w:tcPr>
          <w:p w14:paraId="612E9D3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张天宇</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3637D1F6">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15102968497</w:t>
            </w:r>
          </w:p>
        </w:tc>
      </w:tr>
      <w:tr w14:paraId="7AA4F983">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17402C4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4275" w:type="dxa"/>
            <w:tcBorders>
              <w:top w:val="single" w:color="000000" w:sz="4" w:space="0"/>
              <w:left w:val="single" w:color="000000" w:sz="4" w:space="0"/>
              <w:bottom w:val="single" w:color="000000" w:sz="4" w:space="0"/>
              <w:right w:val="single" w:color="000000" w:sz="4" w:space="0"/>
            </w:tcBorders>
            <w:noWrap/>
            <w:vAlign w:val="center"/>
          </w:tcPr>
          <w:p w14:paraId="661DA94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中国银行</w:t>
            </w:r>
          </w:p>
        </w:tc>
        <w:tc>
          <w:tcPr>
            <w:tcW w:w="1665" w:type="dxa"/>
            <w:tcBorders>
              <w:top w:val="single" w:color="000000" w:sz="4" w:space="0"/>
              <w:left w:val="single" w:color="000000" w:sz="4" w:space="0"/>
              <w:bottom w:val="single" w:color="000000" w:sz="4" w:space="0"/>
              <w:right w:val="single" w:color="000000" w:sz="4" w:space="0"/>
            </w:tcBorders>
            <w:noWrap/>
            <w:vAlign w:val="center"/>
          </w:tcPr>
          <w:p w14:paraId="3E481D97">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王  羡</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12876F6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029-81563158</w:t>
            </w:r>
          </w:p>
        </w:tc>
      </w:tr>
      <w:tr w14:paraId="089FAE9A">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5EEFD8B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4275" w:type="dxa"/>
            <w:tcBorders>
              <w:top w:val="single" w:color="000000" w:sz="4" w:space="0"/>
              <w:left w:val="single" w:color="000000" w:sz="4" w:space="0"/>
              <w:bottom w:val="single" w:color="000000" w:sz="4" w:space="0"/>
              <w:right w:val="single" w:color="000000" w:sz="4" w:space="0"/>
            </w:tcBorders>
            <w:noWrap/>
            <w:vAlign w:val="center"/>
          </w:tcPr>
          <w:p w14:paraId="7A6C815F">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西安市长安区农村信用合作联社</w:t>
            </w:r>
          </w:p>
        </w:tc>
        <w:tc>
          <w:tcPr>
            <w:tcW w:w="1665" w:type="dxa"/>
            <w:tcBorders>
              <w:top w:val="single" w:color="000000" w:sz="4" w:space="0"/>
              <w:left w:val="single" w:color="000000" w:sz="4" w:space="0"/>
              <w:bottom w:val="single" w:color="000000" w:sz="4" w:space="0"/>
              <w:right w:val="single" w:color="000000" w:sz="4" w:space="0"/>
            </w:tcBorders>
            <w:noWrap/>
            <w:vAlign w:val="center"/>
          </w:tcPr>
          <w:p w14:paraId="0E5577D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高  锋</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37E505C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029-89230551</w:t>
            </w:r>
          </w:p>
        </w:tc>
      </w:tr>
      <w:tr w14:paraId="2191C3E2">
        <w:tblPrEx>
          <w:tblCellMar>
            <w:top w:w="0" w:type="dxa"/>
            <w:left w:w="108" w:type="dxa"/>
            <w:bottom w:w="0" w:type="dxa"/>
            <w:right w:w="108" w:type="dxa"/>
          </w:tblCellMar>
        </w:tblPrEx>
        <w:trPr>
          <w:trHeight w:val="600" w:hRule="atLeast"/>
        </w:trPr>
        <w:tc>
          <w:tcPr>
            <w:tcW w:w="750" w:type="dxa"/>
            <w:vMerge w:val="restart"/>
            <w:tcBorders>
              <w:top w:val="single" w:color="000000" w:sz="4" w:space="0"/>
              <w:left w:val="single" w:color="000000" w:sz="4" w:space="0"/>
              <w:bottom w:val="single" w:color="000000" w:sz="4" w:space="0"/>
              <w:right w:val="single" w:color="000000" w:sz="4" w:space="0"/>
            </w:tcBorders>
            <w:noWrap/>
            <w:vAlign w:val="center"/>
          </w:tcPr>
          <w:p w14:paraId="45937F3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4275" w:type="dxa"/>
            <w:vMerge w:val="restart"/>
            <w:tcBorders>
              <w:top w:val="single" w:color="000000" w:sz="4" w:space="0"/>
              <w:left w:val="single" w:color="000000" w:sz="4" w:space="0"/>
              <w:bottom w:val="single" w:color="000000" w:sz="4" w:space="0"/>
              <w:right w:val="single" w:color="000000" w:sz="4" w:space="0"/>
            </w:tcBorders>
            <w:noWrap/>
            <w:vAlign w:val="center"/>
          </w:tcPr>
          <w:p w14:paraId="43234ED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浦发银行</w:t>
            </w:r>
          </w:p>
        </w:tc>
        <w:tc>
          <w:tcPr>
            <w:tcW w:w="1665" w:type="dxa"/>
            <w:tcBorders>
              <w:top w:val="single" w:color="000000" w:sz="4" w:space="0"/>
              <w:left w:val="single" w:color="000000" w:sz="4" w:space="0"/>
              <w:bottom w:val="single" w:color="000000" w:sz="4" w:space="0"/>
              <w:right w:val="single" w:color="000000" w:sz="4" w:space="0"/>
            </w:tcBorders>
            <w:noWrap/>
            <w:vAlign w:val="center"/>
          </w:tcPr>
          <w:p w14:paraId="1C02EF6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雷  超</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6BFFE4B0">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13992895375</w:t>
            </w:r>
          </w:p>
        </w:tc>
      </w:tr>
      <w:tr w14:paraId="6B6423D3">
        <w:tblPrEx>
          <w:tblCellMar>
            <w:top w:w="0" w:type="dxa"/>
            <w:left w:w="108" w:type="dxa"/>
            <w:bottom w:w="0" w:type="dxa"/>
            <w:right w:w="108" w:type="dxa"/>
          </w:tblCellMar>
        </w:tblPrEx>
        <w:trPr>
          <w:trHeight w:val="600" w:hRule="atLeast"/>
        </w:trPr>
        <w:tc>
          <w:tcPr>
            <w:tcW w:w="750" w:type="dxa"/>
            <w:vMerge w:val="continue"/>
            <w:tcBorders>
              <w:top w:val="single" w:color="000000" w:sz="4" w:space="0"/>
              <w:left w:val="single" w:color="000000" w:sz="4" w:space="0"/>
              <w:bottom w:val="single" w:color="000000" w:sz="4" w:space="0"/>
              <w:right w:val="single" w:color="000000" w:sz="4" w:space="0"/>
            </w:tcBorders>
            <w:noWrap/>
            <w:vAlign w:val="center"/>
          </w:tcPr>
          <w:p w14:paraId="412BE8E7">
            <w:pPr>
              <w:jc w:val="center"/>
              <w:rPr>
                <w:rFonts w:hint="eastAsia" w:ascii="宋体" w:hAnsi="宋体" w:eastAsia="宋体" w:cs="宋体"/>
                <w:i w:val="0"/>
                <w:iCs w:val="0"/>
                <w:color w:val="000000"/>
                <w:sz w:val="22"/>
                <w:szCs w:val="22"/>
                <w:u w:val="none"/>
              </w:rPr>
            </w:pPr>
          </w:p>
        </w:tc>
        <w:tc>
          <w:tcPr>
            <w:tcW w:w="4275" w:type="dxa"/>
            <w:vMerge w:val="continue"/>
            <w:tcBorders>
              <w:top w:val="single" w:color="000000" w:sz="4" w:space="0"/>
              <w:left w:val="single" w:color="000000" w:sz="4" w:space="0"/>
              <w:bottom w:val="single" w:color="000000" w:sz="4" w:space="0"/>
              <w:right w:val="single" w:color="000000" w:sz="4" w:space="0"/>
            </w:tcBorders>
            <w:noWrap/>
            <w:vAlign w:val="center"/>
          </w:tcPr>
          <w:p w14:paraId="3F98F5CF">
            <w:pPr>
              <w:jc w:val="center"/>
              <w:rPr>
                <w:rFonts w:hint="eastAsia" w:ascii="宋体" w:hAnsi="宋体" w:eastAsia="宋体" w:cs="宋体"/>
                <w:i w:val="0"/>
                <w:iCs w:val="0"/>
                <w:color w:val="000000"/>
                <w:sz w:val="24"/>
                <w:szCs w:val="24"/>
                <w:u w:val="none"/>
              </w:rPr>
            </w:pPr>
          </w:p>
        </w:tc>
        <w:tc>
          <w:tcPr>
            <w:tcW w:w="1665" w:type="dxa"/>
            <w:tcBorders>
              <w:top w:val="single" w:color="000000" w:sz="4" w:space="0"/>
              <w:left w:val="single" w:color="000000" w:sz="4" w:space="0"/>
              <w:bottom w:val="single" w:color="000000" w:sz="4" w:space="0"/>
              <w:right w:val="single" w:color="000000" w:sz="4" w:space="0"/>
            </w:tcBorders>
            <w:noWrap/>
            <w:vAlign w:val="center"/>
          </w:tcPr>
          <w:p w14:paraId="61DA2F6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李  昊</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2CB7C06D">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15209277417</w:t>
            </w:r>
          </w:p>
        </w:tc>
      </w:tr>
      <w:tr w14:paraId="7AD52C27">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259C126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4275" w:type="dxa"/>
            <w:tcBorders>
              <w:top w:val="single" w:color="000000" w:sz="4" w:space="0"/>
              <w:left w:val="single" w:color="000000" w:sz="4" w:space="0"/>
              <w:bottom w:val="single" w:color="000000" w:sz="4" w:space="0"/>
              <w:right w:val="single" w:color="000000" w:sz="4" w:space="0"/>
            </w:tcBorders>
            <w:noWrap/>
            <w:vAlign w:val="center"/>
          </w:tcPr>
          <w:p w14:paraId="5284B30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北京银行</w:t>
            </w:r>
          </w:p>
        </w:tc>
        <w:tc>
          <w:tcPr>
            <w:tcW w:w="1665" w:type="dxa"/>
            <w:tcBorders>
              <w:top w:val="single" w:color="000000" w:sz="4" w:space="0"/>
              <w:left w:val="single" w:color="000000" w:sz="4" w:space="0"/>
              <w:bottom w:val="single" w:color="000000" w:sz="4" w:space="0"/>
              <w:right w:val="single" w:color="000000" w:sz="4" w:space="0"/>
            </w:tcBorders>
            <w:noWrap/>
            <w:vAlign w:val="center"/>
          </w:tcPr>
          <w:p w14:paraId="7A12AEA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陈  明</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478148DA">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18149209660</w:t>
            </w:r>
          </w:p>
        </w:tc>
      </w:tr>
      <w:tr w14:paraId="24B2FA3B">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2428CE2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4275" w:type="dxa"/>
            <w:tcBorders>
              <w:top w:val="single" w:color="000000" w:sz="4" w:space="0"/>
              <w:left w:val="single" w:color="000000" w:sz="4" w:space="0"/>
              <w:bottom w:val="single" w:color="000000" w:sz="4" w:space="0"/>
              <w:right w:val="single" w:color="000000" w:sz="4" w:space="0"/>
            </w:tcBorders>
            <w:noWrap/>
            <w:vAlign w:val="center"/>
          </w:tcPr>
          <w:p w14:paraId="7E4CD6C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兴业银行</w:t>
            </w:r>
          </w:p>
        </w:tc>
        <w:tc>
          <w:tcPr>
            <w:tcW w:w="1665" w:type="dxa"/>
            <w:tcBorders>
              <w:top w:val="single" w:color="000000" w:sz="4" w:space="0"/>
              <w:left w:val="single" w:color="000000" w:sz="4" w:space="0"/>
              <w:bottom w:val="single" w:color="000000" w:sz="4" w:space="0"/>
              <w:right w:val="single" w:color="000000" w:sz="4" w:space="0"/>
            </w:tcBorders>
            <w:noWrap/>
            <w:vAlign w:val="center"/>
          </w:tcPr>
          <w:p w14:paraId="3E08F36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孙  健</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1B49F44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18591051627</w:t>
            </w:r>
          </w:p>
        </w:tc>
      </w:tr>
      <w:tr w14:paraId="52DD547B">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4E02124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w:t>
            </w:r>
          </w:p>
        </w:tc>
        <w:tc>
          <w:tcPr>
            <w:tcW w:w="4275" w:type="dxa"/>
            <w:tcBorders>
              <w:top w:val="single" w:color="000000" w:sz="4" w:space="0"/>
              <w:left w:val="single" w:color="000000" w:sz="4" w:space="0"/>
              <w:bottom w:val="single" w:color="000000" w:sz="4" w:space="0"/>
              <w:right w:val="single" w:color="000000" w:sz="4" w:space="0"/>
            </w:tcBorders>
            <w:noWrap/>
            <w:vAlign w:val="center"/>
          </w:tcPr>
          <w:p w14:paraId="7E8C79D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中国建设银行</w:t>
            </w:r>
          </w:p>
        </w:tc>
        <w:tc>
          <w:tcPr>
            <w:tcW w:w="1665" w:type="dxa"/>
            <w:tcBorders>
              <w:top w:val="single" w:color="000000" w:sz="4" w:space="0"/>
              <w:left w:val="single" w:color="000000" w:sz="4" w:space="0"/>
              <w:bottom w:val="single" w:color="000000" w:sz="4" w:space="0"/>
              <w:right w:val="single" w:color="000000" w:sz="4" w:space="0"/>
            </w:tcBorders>
            <w:noWrap/>
            <w:vAlign w:val="center"/>
          </w:tcPr>
          <w:p w14:paraId="05F1454B">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孙振荣</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65CFE192">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18792546729</w:t>
            </w:r>
          </w:p>
        </w:tc>
      </w:tr>
      <w:tr w14:paraId="1D747415">
        <w:tblPrEx>
          <w:tblCellMar>
            <w:top w:w="0" w:type="dxa"/>
            <w:left w:w="108" w:type="dxa"/>
            <w:bottom w:w="0" w:type="dxa"/>
            <w:right w:w="108" w:type="dxa"/>
          </w:tblCellMar>
        </w:tblPrEx>
        <w:trPr>
          <w:trHeight w:val="600" w:hRule="atLeast"/>
        </w:trPr>
        <w:tc>
          <w:tcPr>
            <w:tcW w:w="750" w:type="dxa"/>
            <w:tcBorders>
              <w:top w:val="single" w:color="000000" w:sz="4" w:space="0"/>
              <w:left w:val="single" w:color="000000" w:sz="4" w:space="0"/>
              <w:bottom w:val="single" w:color="000000" w:sz="4" w:space="0"/>
              <w:right w:val="single" w:color="000000" w:sz="4" w:space="0"/>
            </w:tcBorders>
            <w:noWrap/>
            <w:vAlign w:val="center"/>
          </w:tcPr>
          <w:p w14:paraId="6372CBE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w:t>
            </w:r>
          </w:p>
        </w:tc>
        <w:tc>
          <w:tcPr>
            <w:tcW w:w="4275" w:type="dxa"/>
            <w:tcBorders>
              <w:top w:val="single" w:color="000000" w:sz="4" w:space="0"/>
              <w:left w:val="single" w:color="000000" w:sz="4" w:space="0"/>
              <w:bottom w:val="single" w:color="000000" w:sz="4" w:space="0"/>
              <w:right w:val="single" w:color="000000" w:sz="4" w:space="0"/>
            </w:tcBorders>
            <w:noWrap/>
            <w:vAlign w:val="center"/>
          </w:tcPr>
          <w:p w14:paraId="387D2E1E">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中国工商银行</w:t>
            </w:r>
          </w:p>
        </w:tc>
        <w:tc>
          <w:tcPr>
            <w:tcW w:w="1665" w:type="dxa"/>
            <w:tcBorders>
              <w:top w:val="single" w:color="000000" w:sz="4" w:space="0"/>
              <w:left w:val="single" w:color="000000" w:sz="4" w:space="0"/>
              <w:bottom w:val="single" w:color="000000" w:sz="4" w:space="0"/>
              <w:right w:val="single" w:color="000000" w:sz="4" w:space="0"/>
            </w:tcBorders>
            <w:noWrap/>
            <w:vAlign w:val="center"/>
          </w:tcPr>
          <w:p w14:paraId="6888E3D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李碧莹</w:t>
            </w:r>
          </w:p>
        </w:tc>
        <w:tc>
          <w:tcPr>
            <w:tcW w:w="2280" w:type="dxa"/>
            <w:tcBorders>
              <w:top w:val="single" w:color="000000" w:sz="4" w:space="0"/>
              <w:left w:val="single" w:color="000000" w:sz="4" w:space="0"/>
              <w:bottom w:val="single" w:color="000000" w:sz="4" w:space="0"/>
              <w:right w:val="single" w:color="000000" w:sz="4" w:space="0"/>
            </w:tcBorders>
            <w:noWrap/>
            <w:vAlign w:val="center"/>
          </w:tcPr>
          <w:p w14:paraId="2AD3402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13809159860</w:t>
            </w:r>
          </w:p>
        </w:tc>
      </w:tr>
    </w:tbl>
    <w:p w14:paraId="6BA2690B">
      <w:pPr>
        <w:jc w:val="both"/>
        <w:rPr>
          <w:rFonts w:hint="eastAsia" w:ascii="仿宋_GB2312" w:hAnsi="仿宋_GB2312" w:eastAsia="仿宋_GB2312" w:cs="仿宋_GB2312"/>
          <w:color w:val="333333"/>
          <w:kern w:val="0"/>
          <w:sz w:val="32"/>
          <w:szCs w:val="32"/>
          <w:shd w:val="clear" w:color="auto" w:fill="FFFFFF"/>
          <w:lang w:bidi="ar"/>
        </w:rPr>
      </w:pPr>
    </w:p>
    <w:p w14:paraId="0AFEE268"/>
    <w:p w14:paraId="7F268F25">
      <w:pPr>
        <w:jc w:val="both"/>
        <w:rPr>
          <w:rFonts w:hint="eastAsia" w:ascii="仿宋_GB2312" w:hAnsi="仿宋_GB2312" w:eastAsia="仿宋_GB2312" w:cs="仿宋_GB2312"/>
          <w:color w:val="333333"/>
          <w:kern w:val="0"/>
          <w:sz w:val="32"/>
          <w:szCs w:val="32"/>
          <w:shd w:val="clear" w:color="auto" w:fill="FFFFFF"/>
          <w:lang w:bidi="ar"/>
        </w:rPr>
      </w:pPr>
    </w:p>
    <w:p w14:paraId="5AA0D57F"/>
    <w:p w14:paraId="10F77B65">
      <w:pPr>
        <w:pStyle w:val="7"/>
      </w:pPr>
      <w:bookmarkStart w:id="0" w:name="_GoBack"/>
      <w:bookmarkEnd w:id="0"/>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PMingLiU">
    <w:altName w:val="Segoe Print"/>
    <w:panose1 w:val="00000000000000000000"/>
    <w:charset w:val="00"/>
    <w:family w:val="roman"/>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_GB2312">
    <w:altName w:val="仿宋"/>
    <w:panose1 w:val="02010609030101010101"/>
    <w:charset w:val="86"/>
    <w:family w:val="auto"/>
    <w:pitch w:val="default"/>
    <w:sig w:usb0="00000000" w:usb1="00000000" w:usb2="00000000" w:usb3="00000000" w:csb0="00040000" w:csb1="00000000"/>
  </w:font>
  <w:font w:name="方正小标宋简体">
    <w:altName w:val="Arial Unicode MS"/>
    <w:panose1 w:val="03000509000000000000"/>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Arial Unicode MS">
    <w:panose1 w:val="020B0604020202020204"/>
    <w:charset w:val="86"/>
    <w:family w:val="auto"/>
    <w:pitch w:val="default"/>
    <w:sig w:usb0="FFFFFFFF" w:usb1="E9FFFFFF" w:usb2="0000003F" w:usb3="00000000" w:csb0="603F01FF" w:csb1="FFFF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24" w:lineRule="auto"/>
      </w:pPr>
      <w:r>
        <w:separator/>
      </w:r>
    </w:p>
  </w:footnote>
  <w:footnote w:type="continuationSeparator" w:id="1">
    <w:p>
      <w:pPr>
        <w:spacing w:line="324"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5E983A2"/>
    <w:multiLevelType w:val="singleLevel"/>
    <w:tmpl w:val="E5E983A2"/>
    <w:lvl w:ilvl="0" w:tentative="0">
      <w:start w:val="4"/>
      <w:numFmt w:val="chineseCounting"/>
      <w:suff w:val="nothing"/>
      <w:lvlText w:val="%1、"/>
      <w:lvlJc w:val="left"/>
      <w:rPr>
        <w:rFonts w:hint="eastAsia"/>
      </w:rPr>
    </w:lvl>
  </w:abstractNum>
  <w:abstractNum w:abstractNumId="1">
    <w:nsid w:val="61289B7E"/>
    <w:multiLevelType w:val="singleLevel"/>
    <w:tmpl w:val="61289B7E"/>
    <w:lvl w:ilvl="0" w:tentative="0">
      <w:start w:val="5"/>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Q2MjljMThlMzEzYmM3OTVkNjUzNjhjY2Q1NmEwNjUifQ=="/>
  </w:docVars>
  <w:rsids>
    <w:rsidRoot w:val="38145E0A"/>
    <w:rsid w:val="004F0F4D"/>
    <w:rsid w:val="052D7F46"/>
    <w:rsid w:val="05AD64DF"/>
    <w:rsid w:val="09481062"/>
    <w:rsid w:val="0ADE34F7"/>
    <w:rsid w:val="0CA653DC"/>
    <w:rsid w:val="0E274C11"/>
    <w:rsid w:val="0F214E4A"/>
    <w:rsid w:val="11773C5D"/>
    <w:rsid w:val="11F33501"/>
    <w:rsid w:val="196640D0"/>
    <w:rsid w:val="1CB93D9D"/>
    <w:rsid w:val="1D48524C"/>
    <w:rsid w:val="1ECD5B85"/>
    <w:rsid w:val="22F664C5"/>
    <w:rsid w:val="243E5891"/>
    <w:rsid w:val="24CA4BBB"/>
    <w:rsid w:val="25273966"/>
    <w:rsid w:val="283050FB"/>
    <w:rsid w:val="2975156E"/>
    <w:rsid w:val="2D7C41E1"/>
    <w:rsid w:val="32292383"/>
    <w:rsid w:val="32A83CD6"/>
    <w:rsid w:val="34420C73"/>
    <w:rsid w:val="34DA0A32"/>
    <w:rsid w:val="35EC7D14"/>
    <w:rsid w:val="360E18B1"/>
    <w:rsid w:val="38145E0A"/>
    <w:rsid w:val="3BF3011D"/>
    <w:rsid w:val="455C75A3"/>
    <w:rsid w:val="4D1D7170"/>
    <w:rsid w:val="4D646013"/>
    <w:rsid w:val="4F6944D6"/>
    <w:rsid w:val="529D003F"/>
    <w:rsid w:val="542D3DC5"/>
    <w:rsid w:val="57923690"/>
    <w:rsid w:val="5D632CDE"/>
    <w:rsid w:val="5EF37821"/>
    <w:rsid w:val="61D36C4B"/>
    <w:rsid w:val="61EC24E5"/>
    <w:rsid w:val="657702CD"/>
    <w:rsid w:val="67984807"/>
    <w:rsid w:val="6BA918F3"/>
    <w:rsid w:val="6C775A02"/>
    <w:rsid w:val="6CB20263"/>
    <w:rsid w:val="6E3B0847"/>
    <w:rsid w:val="71310596"/>
    <w:rsid w:val="74DD3202"/>
    <w:rsid w:val="77062109"/>
    <w:rsid w:val="792F5918"/>
    <w:rsid w:val="7AD5146A"/>
    <w:rsid w:val="7AFE2D3C"/>
    <w:rsid w:val="7B637D31"/>
    <w:rsid w:val="7D7720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24" w:lineRule="auto"/>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6"/>
    <w:qFormat/>
    <w:uiPriority w:val="0"/>
    <w:pPr>
      <w:spacing w:before="200" w:after="200" w:line="240" w:lineRule="auto"/>
      <w:ind w:left="0" w:right="0"/>
      <w:jc w:val="center"/>
      <w:outlineLvl w:val="0"/>
    </w:pPr>
    <w:rPr>
      <w:rFonts w:ascii="PMingLiU" w:hAnsi="PMingLiU" w:eastAsia="宋体" w:cs="PMingLiU"/>
      <w:b/>
      <w:sz w:val="32"/>
      <w:szCs w:val="43"/>
    </w:rPr>
  </w:style>
  <w:style w:type="paragraph" w:styleId="3">
    <w:name w:val="heading 2"/>
    <w:basedOn w:val="1"/>
    <w:next w:val="1"/>
    <w:link w:val="17"/>
    <w:semiHidden/>
    <w:unhideWhenUsed/>
    <w:qFormat/>
    <w:uiPriority w:val="0"/>
    <w:pPr>
      <w:spacing w:before="7" w:line="240" w:lineRule="auto"/>
      <w:ind w:left="2392"/>
      <w:jc w:val="left"/>
      <w:outlineLvl w:val="1"/>
    </w:pPr>
    <w:rPr>
      <w:rFonts w:ascii="宋体" w:hAnsi="宋体" w:eastAsia="宋体" w:cs="Times New Roman"/>
      <w:bCs/>
      <w:sz w:val="24"/>
      <w:szCs w:val="30"/>
    </w:rPr>
  </w:style>
  <w:style w:type="paragraph" w:styleId="4">
    <w:name w:val="heading 3"/>
    <w:basedOn w:val="1"/>
    <w:next w:val="1"/>
    <w:link w:val="18"/>
    <w:semiHidden/>
    <w:unhideWhenUsed/>
    <w:qFormat/>
    <w:uiPriority w:val="0"/>
    <w:pPr>
      <w:keepNext/>
      <w:keepLines/>
      <w:spacing w:before="260" w:after="260" w:line="416" w:lineRule="auto"/>
      <w:ind w:left="720" w:hanging="720"/>
      <w:outlineLvl w:val="2"/>
    </w:pPr>
    <w:rPr>
      <w:rFonts w:ascii="Times New Roman" w:hAnsi="Times New Roman" w:eastAsia="宋体" w:cs="Times New Roman"/>
      <w:b/>
      <w:bCs/>
      <w:sz w:val="28"/>
      <w:szCs w:val="32"/>
    </w:rPr>
  </w:style>
  <w:style w:type="paragraph" w:styleId="5">
    <w:name w:val="heading 4"/>
    <w:basedOn w:val="1"/>
    <w:next w:val="1"/>
    <w:semiHidden/>
    <w:unhideWhenUsed/>
    <w:qFormat/>
    <w:uiPriority w:val="0"/>
    <w:pPr>
      <w:keepNext/>
      <w:keepLines/>
      <w:spacing w:before="160" w:after="170" w:line="360" w:lineRule="auto"/>
      <w:jc w:val="left"/>
      <w:outlineLvl w:val="3"/>
    </w:pPr>
    <w:rPr>
      <w:rFonts w:ascii="Arial" w:hAnsi="Arial" w:eastAsia="宋体" w:cs="Times New Roman"/>
      <w:b/>
      <w:bCs/>
      <w:sz w:val="24"/>
      <w:szCs w:val="28"/>
    </w:rPr>
  </w:style>
  <w:style w:type="character" w:default="1" w:styleId="14">
    <w:name w:val="Default Paragraph Font"/>
    <w:unhideWhenUsed/>
    <w:qFormat/>
    <w:uiPriority w:val="1"/>
  </w:style>
  <w:style w:type="table" w:default="1" w:styleId="13">
    <w:name w:val="Normal Table"/>
    <w:semiHidden/>
    <w:qFormat/>
    <w:uiPriority w:val="0"/>
    <w:tblPr>
      <w:tblCellMar>
        <w:top w:w="0" w:type="dxa"/>
        <w:left w:w="108" w:type="dxa"/>
        <w:bottom w:w="0" w:type="dxa"/>
        <w:right w:w="108" w:type="dxa"/>
      </w:tblCellMar>
    </w:tblPr>
  </w:style>
  <w:style w:type="paragraph" w:styleId="6">
    <w:name w:val="Normal Indent"/>
    <w:basedOn w:val="1"/>
    <w:next w:val="1"/>
    <w:qFormat/>
    <w:uiPriority w:val="0"/>
    <w:pPr>
      <w:ind w:firstLine="420"/>
    </w:pPr>
    <w:rPr>
      <w:szCs w:val="20"/>
    </w:rPr>
  </w:style>
  <w:style w:type="paragraph" w:styleId="7">
    <w:name w:val="Body Text"/>
    <w:basedOn w:val="1"/>
    <w:qFormat/>
    <w:uiPriority w:val="0"/>
    <w:pPr>
      <w:spacing w:after="120"/>
    </w:pPr>
    <w:rPr>
      <w:rFonts w:asciiTheme="minorHAnsi" w:hAnsiTheme="minorHAnsi" w:eastAsiaTheme="minorEastAsia" w:cstheme="minorBidi"/>
      <w:kern w:val="2"/>
      <w:sz w:val="21"/>
      <w:szCs w:val="22"/>
    </w:rPr>
  </w:style>
  <w:style w:type="paragraph" w:styleId="8">
    <w:name w:val="Body Text Indent"/>
    <w:basedOn w:val="1"/>
    <w:next w:val="6"/>
    <w:qFormat/>
    <w:uiPriority w:val="0"/>
    <w:pPr>
      <w:ind w:firstLine="630"/>
    </w:pPr>
    <w:rPr>
      <w:sz w:val="32"/>
      <w:szCs w:val="20"/>
    </w:rPr>
  </w:style>
  <w:style w:type="paragraph" w:styleId="9">
    <w:name w:val="Plain Text"/>
    <w:basedOn w:val="1"/>
    <w:qFormat/>
    <w:uiPriority w:val="0"/>
    <w:rPr>
      <w:rFonts w:hAnsi="Courier New" w:cstheme="minorBidi"/>
      <w:kern w:val="2"/>
      <w:sz w:val="21"/>
      <w:szCs w:val="22"/>
    </w:rPr>
  </w:style>
  <w:style w:type="paragraph" w:styleId="10">
    <w:name w:val="footer"/>
    <w:basedOn w:val="1"/>
    <w:qFormat/>
    <w:uiPriority w:val="0"/>
    <w:pPr>
      <w:tabs>
        <w:tab w:val="center" w:pos="4153"/>
        <w:tab w:val="right" w:pos="8306"/>
      </w:tabs>
      <w:snapToGrid w:val="0"/>
      <w:jc w:val="left"/>
    </w:pPr>
    <w:rPr>
      <w:sz w:val="18"/>
      <w:szCs w:val="20"/>
    </w:rPr>
  </w:style>
  <w:style w:type="paragraph" w:styleId="11">
    <w:name w:val="Normal (Web)"/>
    <w:basedOn w:val="1"/>
    <w:qFormat/>
    <w:uiPriority w:val="0"/>
    <w:pPr>
      <w:spacing w:before="100" w:beforeAutospacing="1" w:after="100" w:afterAutospacing="1"/>
      <w:ind w:left="0" w:right="0"/>
      <w:jc w:val="left"/>
    </w:pPr>
    <w:rPr>
      <w:kern w:val="0"/>
      <w:sz w:val="24"/>
      <w:lang w:val="en-US" w:eastAsia="zh-CN" w:bidi="ar"/>
    </w:rPr>
  </w:style>
  <w:style w:type="paragraph" w:styleId="12">
    <w:name w:val="Body Text First Indent 2"/>
    <w:basedOn w:val="8"/>
    <w:next w:val="1"/>
    <w:qFormat/>
    <w:uiPriority w:val="0"/>
    <w:pPr>
      <w:spacing w:before="50"/>
      <w:ind w:firstLine="200" w:firstLineChars="200"/>
    </w:pPr>
    <w:rPr>
      <w:rFonts w:ascii="Times New Roman" w:hAnsi="Times New Roman" w:eastAsia="宋体" w:cs="Times New Roman"/>
      <w:lang w:bidi="ar-SA"/>
    </w:rPr>
  </w:style>
  <w:style w:type="paragraph" w:customStyle="1" w:styleId="15">
    <w:name w:val="TOC 标题1"/>
    <w:basedOn w:val="2"/>
    <w:next w:val="1"/>
    <w:unhideWhenUsed/>
    <w:qFormat/>
    <w:uiPriority w:val="39"/>
    <w:pPr>
      <w:outlineLvl w:val="9"/>
    </w:pPr>
  </w:style>
  <w:style w:type="character" w:customStyle="1" w:styleId="16">
    <w:name w:val="标题 1 Char"/>
    <w:basedOn w:val="14"/>
    <w:link w:val="2"/>
    <w:qFormat/>
    <w:uiPriority w:val="0"/>
    <w:rPr>
      <w:rFonts w:hint="eastAsia" w:ascii="PMingLiU" w:hAnsi="PMingLiU" w:eastAsia="宋体" w:cs="PMingLiU"/>
      <w:b/>
      <w:bCs/>
      <w:kern w:val="44"/>
      <w:sz w:val="30"/>
      <w:szCs w:val="32"/>
      <w:lang w:eastAsia="en-US"/>
    </w:rPr>
  </w:style>
  <w:style w:type="character" w:customStyle="1" w:styleId="17">
    <w:name w:val="标题 2 Char"/>
    <w:link w:val="3"/>
    <w:qFormat/>
    <w:uiPriority w:val="0"/>
    <w:rPr>
      <w:rFonts w:ascii="宋体" w:hAnsi="宋体" w:eastAsia="宋体" w:cs="Times New Roman"/>
      <w:b/>
      <w:bCs/>
      <w:kern w:val="2"/>
      <w:sz w:val="28"/>
      <w:szCs w:val="32"/>
      <w:lang w:val="en-US" w:eastAsia="zh-CN" w:bidi="ar-SA"/>
    </w:rPr>
  </w:style>
  <w:style w:type="character" w:customStyle="1" w:styleId="18">
    <w:name w:val="标题 3 Char"/>
    <w:link w:val="4"/>
    <w:qFormat/>
    <w:uiPriority w:val="0"/>
    <w:rPr>
      <w:rFonts w:ascii="Times New Roman" w:hAnsi="Times New Roman" w:eastAsia="宋体"/>
      <w:b/>
      <w:bCs/>
      <w:kern w:val="2"/>
      <w:sz w:val="28"/>
      <w:szCs w:val="24"/>
    </w:rPr>
  </w:style>
  <w:style w:type="paragraph" w:customStyle="1" w:styleId="19">
    <w:name w:val="null3"/>
    <w:hidden/>
    <w:qFormat/>
    <w:uiPriority w:val="0"/>
    <w:rPr>
      <w:rFonts w:hint="eastAsia" w:asciiTheme="minorHAnsi" w:hAnsiTheme="minorHAnsi" w:eastAsiaTheme="minorEastAsia" w:cstheme="minorBidi"/>
      <w:lang w:val="en-US" w:eastAsia="zh-Hans"/>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1856</Words>
  <Characters>1893</Characters>
  <Lines>0</Lines>
  <Paragraphs>0</Paragraphs>
  <TotalTime>0</TotalTime>
  <ScaleCrop>false</ScaleCrop>
  <LinksUpToDate>false</LinksUpToDate>
  <CharactersWithSpaces>2452</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2023-09-15T11:48:00Z</dcterms:created>
  <dc:creator>热血</dc:creator>
  <cp:lastModifiedBy>乔公子</cp:lastModifiedBy>
  <dcterms:modified xsi:type="dcterms:W3CDTF">2025-01-23T09:33:54Z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F0D4B88894674CE39A0C5BF60E42EA36_11</vt:lpwstr>
  </property>
  <property fmtid="{D5CDD505-2E9C-101B-9397-08002B2CF9AE}" pid="4" name="KSOTemplateDocerSaveRecord">
    <vt:lpwstr>eyJoZGlkIjoiNGQ2MjljMThlMzEzYmM3OTVkNjUzNjhjY2Q1NmEwNjUiLCJ1c2VySWQiOiIxMDM1MzI2MTI3In0=</vt:lpwstr>
  </property>
</Properties>
</file>