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版本号：HDFX-2025-Z13720251011002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住院部品牌文化墙建设项目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HDFX-2025-Z137</w:t>
      </w:r>
      <w:r>
        <w:br/>
      </w:r>
      <w:r>
        <w:br/>
      </w:r>
      <w:r>
        <w:br/>
      </w:r>
    </w:p>
    <w:p>
      <w:pPr>
        <w:pStyle w:val="null3"/>
        <w:jc w:val="center"/>
        <w:outlineLvl w:val="2"/>
      </w:pPr>
      <w:r>
        <w:rPr>
          <w:rFonts w:ascii="仿宋_GB2312" w:hAnsi="仿宋_GB2312" w:cs="仿宋_GB2312" w:eastAsia="仿宋_GB2312"/>
          <w:sz w:val="28"/>
          <w:b/>
        </w:rPr>
        <w:t>西安市长安区医院</w:t>
      </w:r>
    </w:p>
    <w:p>
      <w:pPr>
        <w:pStyle w:val="null3"/>
        <w:jc w:val="center"/>
        <w:outlineLvl w:val="2"/>
      </w:pPr>
      <w:r>
        <w:rPr>
          <w:rFonts w:ascii="仿宋_GB2312" w:hAnsi="仿宋_GB2312" w:cs="仿宋_GB2312" w:eastAsia="仿宋_GB2312"/>
          <w:sz w:val="28"/>
          <w:b/>
        </w:rPr>
        <w:t>陕西华达峰信项目管理有限公司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陕西华达峰信项目管理有限公司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西安市长安区医院</w:t>
      </w:r>
      <w:r>
        <w:rPr>
          <w:rFonts w:ascii="仿宋_GB2312" w:hAnsi="仿宋_GB2312" w:cs="仿宋_GB2312" w:eastAsia="仿宋_GB2312"/>
        </w:rPr>
        <w:t>委托，拟对</w:t>
      </w:r>
      <w:r>
        <w:rPr>
          <w:rFonts w:ascii="仿宋_GB2312" w:hAnsi="仿宋_GB2312" w:cs="仿宋_GB2312" w:eastAsia="仿宋_GB2312"/>
        </w:rPr>
        <w:t>住院部品牌文化墙建设项目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HDFX-2025-Z137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住院部品牌文化墙建设项目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此次医院住院部品牌文化墙建设项目，核心目标是通过系统化的品牌文化理念塑造与环境建设，实现以下战略意图： 1.统一医院品牌文化理念：构建医院品牌文化理念主题，形成全院文化共识，强化医院作为“区域医疗标杆”的品牌形象，为可持续发展奠定精神根基。 2.实现科室品牌文化差异化：通过“一科一品牌、一科一故事”策略，赋予每个科室独特的文化标签，形成科室核心竞争力,让每个科室单元成为医院品牌的“医院品牌的微型代言人”。 3.提升患者与医护双维体验：以“文化先行”为建设思路，通过环境文化升级传递科室医疗品牌形象与服务温度，增强患者信任感与满意度，同时提升医护团队归属感与使命感。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采购包1（住院部品牌文化墙建设）：属于专门面向中小企业采购。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1、有效的主体资格证明：具有独立承担民事责任能力的法人，其他组织或自然人，并出具合法有效的统一社会信用代码的营业执照或事业单位法人证书等国家规定的相关证明，自然人参与地提供其身份证明。</w:t>
      </w:r>
    </w:p>
    <w:p>
      <w:pPr>
        <w:pStyle w:val="null3"/>
      </w:pPr>
      <w:r>
        <w:rPr>
          <w:rFonts w:ascii="仿宋_GB2312" w:hAnsi="仿宋_GB2312" w:cs="仿宋_GB2312" w:eastAsia="仿宋_GB2312"/>
        </w:rPr>
        <w:t>2、法定代表人授权书：法定代表人授权书【附法定代表人、被授权人身份证复印件】及被授权人身份证【法定代表人参加投标只需提供本人身份证】，其他形式供应商参照法人企业执行；被授权人须提供在本单位缴纳的社保记录（磋商响应文件递交截止时间前连续三个月）。</w:t>
      </w:r>
    </w:p>
    <w:p>
      <w:pPr>
        <w:pStyle w:val="null3"/>
      </w:pPr>
      <w:r>
        <w:rPr>
          <w:rFonts w:ascii="仿宋_GB2312" w:hAnsi="仿宋_GB2312" w:cs="仿宋_GB2312" w:eastAsia="仿宋_GB2312"/>
        </w:rPr>
        <w:t>3、财务状况报告：提供2024年度的审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4、社保保障资金缴纳证明：提供投标截止时间前6个月内至少一个月的社会保障资金缴存单据或社保机构开具的社会保险参保缴费情况证明，依法不需要缴纳社会保障资金的单位应提供相关证明材料。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5、税收缴纳证明：提供投标截止时间前6个月内至少一个月的纳税证明或完税证明（任意税种，个人所得税除外），依法免税的单位应提供相关证明材料。</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8、履行合同的书面承诺：承诺具备履行合同所必需的设备和专业技术能力。</w:t>
      </w:r>
    </w:p>
    <w:p>
      <w:pPr>
        <w:pStyle w:val="null3"/>
      </w:pPr>
      <w:r>
        <w:rPr>
          <w:rFonts w:ascii="仿宋_GB2312" w:hAnsi="仿宋_GB2312" w:cs="仿宋_GB2312" w:eastAsia="仿宋_GB2312"/>
        </w:rPr>
        <w:t>9、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pStyle w:val="null3"/>
      </w:pPr>
      <w:r>
        <w:rPr>
          <w:rFonts w:ascii="仿宋_GB2312" w:hAnsi="仿宋_GB2312" w:cs="仿宋_GB2312" w:eastAsia="仿宋_GB2312"/>
        </w:rPr>
        <w:t>10、供应商与采购人关联关系：本项目不接受由西安市长安区医院职工及其亲属投资开办的企业参加本单位的政府采购活动（提供承诺函）。</w:t>
      </w:r>
    </w:p>
    <w:p>
      <w:pPr>
        <w:pStyle w:val="null3"/>
      </w:pPr>
      <w:r>
        <w:rPr>
          <w:rFonts w:ascii="仿宋_GB2312" w:hAnsi="仿宋_GB2312" w:cs="仿宋_GB2312" w:eastAsia="仿宋_GB2312"/>
        </w:rPr>
        <w:t>11、非联合体声明函：本项目不接受联合体投标。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西安市长安区郭杜街道文苑中路120号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王婧懿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85910601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陕西华达峰信项目管理有限公司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陕西省西安市未央区朱宏路福清商会大厦11层1101室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029-89573156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2、服务费参照《国家计委关于印发&lt;招标代理服务收费管理暂行办法&gt;的通知》（计价格[2002]1980号）规定收取。若代理服务费不足4000元按4000元收取。 3、成交单位服务费交纳信息 银行户名：陕西华达峰信项目管理有限公司 开户银行：中国工商银行股份有限公司西安未央支行 账 号：3700 0340 0910 0001 556 行 号：102 791 000 525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西安市长安区医院</w:t>
      </w:r>
      <w:r>
        <w:rPr>
          <w:rFonts w:ascii="仿宋_GB2312" w:hAnsi="仿宋_GB2312" w:cs="仿宋_GB2312" w:eastAsia="仿宋_GB2312"/>
        </w:rPr>
        <w:t>和</w:t>
      </w:r>
      <w:r>
        <w:rPr>
          <w:rFonts w:ascii="仿宋_GB2312" w:hAnsi="仿宋_GB2312" w:cs="仿宋_GB2312" w:eastAsia="仿宋_GB2312"/>
        </w:rPr>
        <w:t>陕西华达峰信项目管理有限公司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陕西华达峰信项目管理有限公司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陕西华达峰信项目管理有限公司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依据采购文件、响应文件、合同内容进行验收。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联系人：韩飞</w:t>
      </w:r>
    </w:p>
    <w:p>
      <w:pPr>
        <w:pStyle w:val="null3"/>
      </w:pPr>
      <w:r>
        <w:rPr>
          <w:rFonts w:ascii="仿宋_GB2312" w:hAnsi="仿宋_GB2312" w:cs="仿宋_GB2312" w:eastAsia="仿宋_GB2312"/>
        </w:rPr>
        <w:t>联系电话：029-89573156</w:t>
      </w:r>
    </w:p>
    <w:p>
      <w:pPr>
        <w:pStyle w:val="null3"/>
      </w:pPr>
      <w:r>
        <w:rPr>
          <w:rFonts w:ascii="仿宋_GB2312" w:hAnsi="仿宋_GB2312" w:cs="仿宋_GB2312" w:eastAsia="仿宋_GB2312"/>
        </w:rPr>
        <w:t>地址：陕西省西安市未央区朱宏路福清商会大厦11层1101室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此次医院住院部品牌文化墙建设项目，核心目标是通过系统化的品牌文化理念塑造与环境建设，实现以下战略意图： 1.统一医院品牌文化理念：构建医院品牌文化理念主题，形成全院文化共识，强化医院作为“区域医疗标杆”的品牌形象，为可持续发展奠定精神根基。 2.实现科室品牌文化差异化：通过“一科一品牌、一科一故事”策略，赋予每个科室独特的文化标签，形成科室核心竞争力,让每个科室单元成为医院品牌的“医院品牌的微型代言人”。 3.提升患者与医护双维体验：以“文化先行”为建设思路，通过环境文化升级传递科室医疗品牌形象与服务温度，增强患者信任感与满意度，同时提升医护团队归属感与使命感。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住院部品牌文化墙建设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标的名称：住院部品牌文化墙建设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一、建设目的</w:t>
            </w:r>
          </w:p>
          <w:p>
            <w:pPr>
              <w:pStyle w:val="null3"/>
              <w:ind w:firstLine="400"/>
              <w:jc w:val="both"/>
            </w:pPr>
            <w:r>
              <w:rPr>
                <w:rFonts w:ascii="仿宋_GB2312" w:hAnsi="仿宋_GB2312" w:cs="仿宋_GB2312" w:eastAsia="仿宋_GB2312"/>
                <w:sz w:val="20"/>
              </w:rPr>
              <w:t>此次医院住院部品牌文化墙建设项目，核心目标是通过系统化的品牌文化理念塑造与环境建设，实现以下战略意图：</w:t>
            </w:r>
          </w:p>
          <w:p>
            <w:pPr>
              <w:pStyle w:val="null3"/>
              <w:ind w:firstLine="400"/>
              <w:jc w:val="both"/>
            </w:pPr>
            <w:r>
              <w:rPr>
                <w:rFonts w:ascii="仿宋_GB2312" w:hAnsi="仿宋_GB2312" w:cs="仿宋_GB2312" w:eastAsia="仿宋_GB2312"/>
                <w:sz w:val="20"/>
              </w:rPr>
              <w:t>1.统一医院品牌文化理念：构建医院品牌文化理念主题，形成全院文化共识，强化医院作为“区域医疗标杆”的品牌形象，为可持续发展奠定精神根基</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2.实现科室品牌文化差异化：通过“一科一品牌、一科一故事”策略，赋予每个科室独特的文化标签，形成科室核心竞争力,让每个科室单元成为医院品牌的“医院品牌的微型代言人”</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3.提升患者与医护双维体验：以“文化先行”为建设思路，通过环境文化升级传递科室医疗品牌形象与服务温度，增强患者信任感与满意度，同时提升医护团队归属感与使命感。</w:t>
            </w:r>
          </w:p>
          <w:p>
            <w:pPr>
              <w:pStyle w:val="null3"/>
              <w:jc w:val="both"/>
            </w:pPr>
            <w:r>
              <w:rPr>
                <w:rFonts w:ascii="仿宋_GB2312" w:hAnsi="仿宋_GB2312" w:cs="仿宋_GB2312" w:eastAsia="仿宋_GB2312"/>
                <w:sz w:val="20"/>
                <w:b/>
              </w:rPr>
              <w:t>二、建设内容</w:t>
            </w:r>
          </w:p>
          <w:p>
            <w:pPr>
              <w:pStyle w:val="null3"/>
              <w:ind w:firstLine="400"/>
              <w:jc w:val="both"/>
            </w:pPr>
            <w:r>
              <w:rPr>
                <w:rFonts w:ascii="仿宋_GB2312" w:hAnsi="仿宋_GB2312" w:cs="仿宋_GB2312" w:eastAsia="仿宋_GB2312"/>
                <w:sz w:val="20"/>
              </w:rPr>
              <w:t>本项目建设计划分四阶段推进，层层递进，确保文化理念贯穿始终：</w:t>
            </w:r>
          </w:p>
          <w:p>
            <w:pPr>
              <w:pStyle w:val="null3"/>
              <w:ind w:firstLine="400"/>
              <w:jc w:val="both"/>
            </w:pPr>
            <w:r>
              <w:rPr>
                <w:rFonts w:ascii="仿宋_GB2312" w:hAnsi="仿宋_GB2312" w:cs="仿宋_GB2312" w:eastAsia="仿宋_GB2312"/>
                <w:sz w:val="20"/>
              </w:rPr>
              <w:t>1.医院品牌文化理念的定位与塑造</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1.1 建设内容：挖掘医院品牌文化特色，策划制定医院品牌文化理念核心主题，塑造医院品牌文化形象</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 科室品牌文化理念的定位与塑造</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2.1.科室品牌理念主题定位：发掘特色，定位科室品牌文化理念主题及文化体系</w:t>
            </w:r>
            <w:r>
              <w:rPr>
                <w:rFonts w:ascii="仿宋_GB2312" w:hAnsi="仿宋_GB2312" w:cs="仿宋_GB2312" w:eastAsia="仿宋_GB2312"/>
                <w:sz w:val="20"/>
              </w:rPr>
              <w:t>；</w:t>
            </w:r>
            <w:r>
              <w:rPr>
                <w:rFonts w:ascii="仿宋_GB2312" w:hAnsi="仿宋_GB2312" w:cs="仿宋_GB2312" w:eastAsia="仿宋_GB2312"/>
                <w:sz w:val="20"/>
              </w:rPr>
              <w:t>（发展使命、发展愿景、服务理念、服务宣言等）</w:t>
            </w:r>
          </w:p>
          <w:p>
            <w:pPr>
              <w:pStyle w:val="null3"/>
              <w:ind w:firstLine="400"/>
              <w:jc w:val="both"/>
            </w:pPr>
            <w:r>
              <w:rPr>
                <w:rFonts w:ascii="仿宋_GB2312" w:hAnsi="仿宋_GB2312" w:cs="仿宋_GB2312" w:eastAsia="仿宋_GB2312"/>
                <w:sz w:val="20"/>
              </w:rPr>
              <w:t>3.科室视觉文化形象的塑造</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3.1.VI系统设计：</w:t>
            </w:r>
          </w:p>
          <w:p>
            <w:pPr>
              <w:pStyle w:val="null3"/>
              <w:ind w:firstLine="400"/>
              <w:jc w:val="both"/>
            </w:pPr>
            <w:r>
              <w:rPr>
                <w:rFonts w:ascii="仿宋_GB2312" w:hAnsi="仿宋_GB2312" w:cs="仿宋_GB2312" w:eastAsia="仿宋_GB2312"/>
                <w:sz w:val="20"/>
              </w:rPr>
              <w:t>主视觉延伸：依据医院品牌文化理念定位与主视觉形象如</w:t>
            </w:r>
            <w:r>
              <w:rPr>
                <w:rFonts w:ascii="仿宋_GB2312" w:hAnsi="仿宋_GB2312" w:cs="仿宋_GB2312" w:eastAsia="仿宋_GB2312"/>
                <w:sz w:val="20"/>
              </w:rPr>
              <w:t>LOGO，策划设计科室特色LOGO 符号</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3.2.建设统一色彩应用规范</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4.住院部科室环境文化建设</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5.质保期：1年。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30"/>
              <w:gridCol w:w="2023"/>
            </w:tblGrid>
            <w:tr>
              <w:tc>
                <w:tcPr>
                  <w:tcW w:type="dxa" w:w="255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1.围绕科室文化主题进行空间环境规划</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楼层平面图</w:t>
                  </w:r>
                </w:p>
              </w:tc>
              <w:tc>
                <w:tcPr>
                  <w:tcW w:type="dxa" w:w="20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1147445" cy="53097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147445" cy="530974"/>
                                </a:xfrm>
                                <a:prstGeom prst="rect">
                                  <a:avLst/>
                                </a:prstGeom>
                              </pic:spPr>
                            </pic:pic>
                          </a:graphicData>
                        </a:graphic>
                      </wp:inline>
                    </w:drawing>
                  </w:r>
                </w:p>
              </w:tc>
            </w:tr>
            <w:tr>
              <w:tc>
                <w:tcPr>
                  <w:tcW w:type="dxa" w:w="5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C0C0C"/>
                    </w:rPr>
                    <w:t>科室外部环境</w:t>
                  </w:r>
                </w:p>
              </w:tc>
              <w:tc>
                <w:tcPr>
                  <w:tcW w:type="dxa" w:w="2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C0C0C"/>
                    </w:rPr>
                    <w:t>A区—科室品牌形象展示区</w:t>
                  </w:r>
                </w:p>
                <w:p>
                  <w:pPr>
                    <w:pStyle w:val="null3"/>
                    <w:jc w:val="left"/>
                  </w:pPr>
                  <w:r>
                    <w:rPr>
                      <w:rFonts w:ascii="仿宋_GB2312" w:hAnsi="仿宋_GB2312" w:cs="仿宋_GB2312" w:eastAsia="仿宋_GB2312"/>
                      <w:sz w:val="20"/>
                      <w:color w:val="0C0C0C"/>
                    </w:rPr>
                    <w:t>内容规划：科室简介板块</w:t>
                  </w:r>
                  <w:r>
                    <w:rPr>
                      <w:rFonts w:ascii="仿宋_GB2312" w:hAnsi="仿宋_GB2312" w:cs="仿宋_GB2312" w:eastAsia="仿宋_GB2312"/>
                      <w:sz w:val="20"/>
                      <w:color w:val="0C0C0C"/>
                    </w:rPr>
                    <w:t>— 科室特色板块 — 特色项目板块 — 医护（专家）风采板块</w:t>
                  </w:r>
                </w:p>
              </w:tc>
            </w:tr>
            <w:tr>
              <w:tc>
                <w:tcPr>
                  <w:tcW w:type="dxa" w:w="530"/>
                  <w:vMerge/>
                  <w:tcBorders>
                    <w:top w:val="none" w:color="000000" w:sz="4"/>
                    <w:left w:val="single" w:color="000000" w:sz="4"/>
                    <w:bottom w:val="single" w:color="000000" w:sz="4"/>
                    <w:right w:val="single" w:color="000000" w:sz="4"/>
                  </w:tcBorders>
                </w:tcPr>
                <w:p/>
              </w:tc>
              <w:tc>
                <w:tcPr>
                  <w:tcW w:type="dxa" w:w="2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1147445" cy="66223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147445" cy="662230"/>
                                </a:xfrm>
                                <a:prstGeom prst="rect">
                                  <a:avLst/>
                                </a:prstGeom>
                              </pic:spPr>
                            </pic:pic>
                          </a:graphicData>
                        </a:graphic>
                      </wp:inline>
                    </w:drawing>
                  </w:r>
                </w:p>
              </w:tc>
            </w:tr>
            <w:tr>
              <w:tc>
                <w:tcPr>
                  <w:tcW w:type="dxa" w:w="5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C0C0C"/>
                    </w:rPr>
                    <w:t>科室内部环境</w:t>
                  </w:r>
                  <w:r>
                    <w:rPr>
                      <w:rFonts w:ascii="仿宋_GB2312" w:hAnsi="仿宋_GB2312" w:cs="仿宋_GB2312" w:eastAsia="仿宋_GB2312"/>
                      <w:sz w:val="20"/>
                      <w:b/>
                      <w:color w:val="0C0C0C"/>
                    </w:rPr>
                    <w:t>1</w:t>
                  </w:r>
                </w:p>
                <w:p>
                  <w:pPr>
                    <w:pStyle w:val="null3"/>
                    <w:jc w:val="center"/>
                  </w:pPr>
                </w:p>
              </w:tc>
              <w:tc>
                <w:tcPr>
                  <w:tcW w:type="dxa" w:w="2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C0C0C"/>
                    </w:rPr>
                    <w:t>科室服务形象设计</w:t>
                  </w:r>
                </w:p>
                <w:p>
                  <w:pPr>
                    <w:pStyle w:val="null3"/>
                    <w:jc w:val="left"/>
                  </w:pPr>
                  <w:r>
                    <w:rPr>
                      <w:rFonts w:ascii="仿宋_GB2312" w:hAnsi="仿宋_GB2312" w:cs="仿宋_GB2312" w:eastAsia="仿宋_GB2312"/>
                      <w:sz w:val="20"/>
                      <w:color w:val="0C0C0C"/>
                    </w:rPr>
                    <w:t>内容规划：治疗室立式门牌设计</w:t>
                  </w:r>
                </w:p>
              </w:tc>
            </w:tr>
            <w:tr>
              <w:tc>
                <w:tcPr>
                  <w:tcW w:type="dxa" w:w="530"/>
                  <w:vMerge/>
                  <w:tcBorders>
                    <w:top w:val="none" w:color="000000" w:sz="4"/>
                    <w:left w:val="single" w:color="000000" w:sz="4"/>
                    <w:bottom w:val="single" w:color="000000" w:sz="4"/>
                    <w:right w:val="single" w:color="000000" w:sz="4"/>
                  </w:tcBorders>
                </w:tcPr>
                <w:p/>
              </w:tc>
              <w:tc>
                <w:tcPr>
                  <w:tcW w:type="dxa" w:w="2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drawing>
                      <wp:inline distT="0" distR="0" distB="0" distL="0">
                        <wp:extent cx="1147445" cy="117234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147445" cy="1172340"/>
                                </a:xfrm>
                                <a:prstGeom prst="rect">
                                  <a:avLst/>
                                </a:prstGeom>
                              </pic:spPr>
                            </pic:pic>
                          </a:graphicData>
                        </a:graphic>
                      </wp:inline>
                    </w:drawing>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C0C0C"/>
                    </w:rPr>
                    <w:t>科室内部环境</w:t>
                  </w:r>
                  <w:r>
                    <w:rPr>
                      <w:rFonts w:ascii="仿宋_GB2312" w:hAnsi="仿宋_GB2312" w:cs="仿宋_GB2312" w:eastAsia="仿宋_GB2312"/>
                      <w:sz w:val="20"/>
                      <w:b/>
                      <w:color w:val="0C0C0C"/>
                    </w:rPr>
                    <w:t>2</w:t>
                  </w:r>
                </w:p>
              </w:tc>
              <w:tc>
                <w:tcPr>
                  <w:tcW w:type="dxa" w:w="2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C0C0C"/>
                    </w:rPr>
                    <w:t>B区—科室荣誉成果展示区</w:t>
                  </w:r>
                </w:p>
                <w:p>
                  <w:pPr>
                    <w:pStyle w:val="null3"/>
                    <w:jc w:val="left"/>
                  </w:pPr>
                  <w:r>
                    <w:rPr>
                      <w:rFonts w:ascii="仿宋_GB2312" w:hAnsi="仿宋_GB2312" w:cs="仿宋_GB2312" w:eastAsia="仿宋_GB2312"/>
                      <w:sz w:val="20"/>
                      <w:color w:val="0C0C0C"/>
                    </w:rPr>
                    <w:t>内容规划：科室荣誉</w:t>
                  </w:r>
                  <w:r>
                    <w:rPr>
                      <w:rFonts w:ascii="仿宋_GB2312" w:hAnsi="仿宋_GB2312" w:cs="仿宋_GB2312" w:eastAsia="仿宋_GB2312"/>
                      <w:sz w:val="20"/>
                      <w:color w:val="0C0C0C"/>
                    </w:rPr>
                    <w:t>— 技术成果（奖项）</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drawing>
                      <wp:inline distT="0" distR="0" distB="0" distL="0">
                        <wp:extent cx="1147445" cy="735486"/>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147445" cy="735486"/>
                                </a:xfrm>
                                <a:prstGeom prst="rect">
                                  <a:avLst/>
                                </a:prstGeom>
                              </pic:spPr>
                            </pic:pic>
                          </a:graphicData>
                        </a:graphic>
                      </wp:inline>
                    </w:drawing>
                  </w:r>
                </w:p>
                <w:p>
                  <w:pPr>
                    <w:pStyle w:val="null3"/>
                    <w:jc w:val="left"/>
                  </w:pPr>
                  <w:r>
                    <w:drawing>
                      <wp:inline distT="0" distR="0" distB="0" distL="0">
                        <wp:extent cx="1147445" cy="889269"/>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147445" cy="889269"/>
                                </a:xfrm>
                                <a:prstGeom prst="rect">
                                  <a:avLst/>
                                </a:prstGeom>
                              </pic:spPr>
                            </pic:pic>
                          </a:graphicData>
                        </a:graphic>
                      </wp:inline>
                    </w:drawing>
                  </w:r>
                </w:p>
              </w:tc>
            </w:tr>
            <w:tr>
              <w:tc>
                <w:tcPr>
                  <w:tcW w:type="dxa" w:w="5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C0C0C"/>
                    </w:rPr>
                    <w:t>科室内部环境</w:t>
                  </w:r>
                  <w:r>
                    <w:rPr>
                      <w:rFonts w:ascii="仿宋_GB2312" w:hAnsi="仿宋_GB2312" w:cs="仿宋_GB2312" w:eastAsia="仿宋_GB2312"/>
                      <w:sz w:val="20"/>
                      <w:b/>
                      <w:color w:val="0C0C0C"/>
                    </w:rPr>
                    <w:t>3</w:t>
                  </w:r>
                </w:p>
              </w:tc>
              <w:tc>
                <w:tcPr>
                  <w:tcW w:type="dxa" w:w="2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C0C0C"/>
                    </w:rPr>
                    <w:t>C科室荣誉成果展示区（文化形象）</w:t>
                  </w:r>
                </w:p>
                <w:p>
                  <w:pPr>
                    <w:pStyle w:val="null3"/>
                    <w:jc w:val="left"/>
                  </w:pPr>
                  <w:r>
                    <w:rPr>
                      <w:rFonts w:ascii="仿宋_GB2312" w:hAnsi="仿宋_GB2312" w:cs="仿宋_GB2312" w:eastAsia="仿宋_GB2312"/>
                      <w:sz w:val="20"/>
                      <w:color w:val="0C0C0C"/>
                    </w:rPr>
                    <w:t>空间分析：科室内部</w:t>
                  </w:r>
                </w:p>
                <w:p>
                  <w:pPr>
                    <w:pStyle w:val="null3"/>
                    <w:jc w:val="left"/>
                  </w:pPr>
                  <w:r>
                    <w:rPr>
                      <w:rFonts w:ascii="仿宋_GB2312" w:hAnsi="仿宋_GB2312" w:cs="仿宋_GB2312" w:eastAsia="仿宋_GB2312"/>
                      <w:sz w:val="20"/>
                      <w:color w:val="0C0C0C"/>
                    </w:rPr>
                    <w:t>规划内容：</w:t>
                  </w:r>
                  <w:r>
                    <w:rPr>
                      <w:rFonts w:ascii="仿宋_GB2312" w:hAnsi="仿宋_GB2312" w:cs="仿宋_GB2312" w:eastAsia="仿宋_GB2312"/>
                      <w:sz w:val="20"/>
                      <w:color w:val="0C0C0C"/>
                    </w:rPr>
                    <w:t>科室特色文化</w:t>
                  </w:r>
                  <w:r>
                    <w:rPr>
                      <w:rFonts w:ascii="仿宋_GB2312" w:hAnsi="仿宋_GB2312" w:cs="仿宋_GB2312" w:eastAsia="仿宋_GB2312"/>
                      <w:sz w:val="20"/>
                      <w:color w:val="0C0C0C"/>
                    </w:rPr>
                    <w:t>— 服务理念— 科室风采 —  医疗科普—党建文化—社会责任</w:t>
                  </w:r>
                </w:p>
              </w:tc>
            </w:tr>
            <w:tr>
              <w:tc>
                <w:tcPr>
                  <w:tcW w:type="dxa" w:w="530"/>
                  <w:vMerge/>
                  <w:tcBorders>
                    <w:top w:val="none" w:color="000000" w:sz="4"/>
                    <w:left w:val="single" w:color="000000" w:sz="4"/>
                    <w:bottom w:val="single" w:color="000000" w:sz="4"/>
                    <w:right w:val="single" w:color="000000" w:sz="4"/>
                  </w:tcBorders>
                </w:tcPr>
                <w:p/>
              </w:tc>
              <w:tc>
                <w:tcPr>
                  <w:tcW w:type="dxa" w:w="2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drawing>
                      <wp:inline distT="0" distR="0" distB="0" distL="0">
                        <wp:extent cx="1147445" cy="610784"/>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1147445" cy="610784"/>
                                </a:xfrm>
                                <a:prstGeom prst="rect">
                                  <a:avLst/>
                                </a:prstGeom>
                              </pic:spPr>
                            </pic:pic>
                          </a:graphicData>
                        </a:graphic>
                      </wp:inline>
                    </w:drawing>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三、建设范围：</w:t>
            </w:r>
          </w:p>
          <w:p>
            <w:pPr>
              <w:pStyle w:val="null3"/>
              <w:ind w:firstLine="400"/>
              <w:jc w:val="both"/>
            </w:pPr>
            <w:r>
              <w:rPr>
                <w:rFonts w:ascii="仿宋_GB2312" w:hAnsi="仿宋_GB2312" w:cs="仿宋_GB2312" w:eastAsia="仿宋_GB2312"/>
                <w:sz w:val="20"/>
              </w:rPr>
              <w:t>1.实施区域</w:t>
            </w:r>
          </w:p>
          <w:p>
            <w:pPr>
              <w:pStyle w:val="null3"/>
              <w:ind w:firstLine="400"/>
              <w:jc w:val="both"/>
            </w:pPr>
            <w:r>
              <w:rPr>
                <w:rFonts w:ascii="仿宋_GB2312" w:hAnsi="仿宋_GB2312" w:cs="仿宋_GB2312" w:eastAsia="仿宋_GB2312"/>
                <w:sz w:val="20"/>
              </w:rPr>
              <w:t>住院部</w:t>
            </w:r>
            <w:r>
              <w:rPr>
                <w:rFonts w:ascii="仿宋_GB2312" w:hAnsi="仿宋_GB2312" w:cs="仿宋_GB2312" w:eastAsia="仿宋_GB2312"/>
                <w:sz w:val="20"/>
              </w:rPr>
              <w:t>A座、B座、感染性疾病科、儿科、</w:t>
            </w:r>
            <w:r>
              <w:rPr>
                <w:rFonts w:ascii="仿宋_GB2312" w:hAnsi="仿宋_GB2312" w:cs="仿宋_GB2312" w:eastAsia="仿宋_GB2312"/>
                <w:sz w:val="20"/>
              </w:rPr>
              <w:t>韦曲院区（老年病科、康复医学科）</w:t>
            </w:r>
            <w:r>
              <w:rPr>
                <w:rFonts w:ascii="仿宋_GB2312" w:hAnsi="仿宋_GB2312" w:cs="仿宋_GB2312" w:eastAsia="仿宋_GB2312"/>
                <w:sz w:val="20"/>
              </w:rPr>
              <w:t>，共计</w:t>
            </w:r>
            <w:r>
              <w:rPr>
                <w:rFonts w:ascii="仿宋_GB2312" w:hAnsi="仿宋_GB2312" w:cs="仿宋_GB2312" w:eastAsia="仿宋_GB2312"/>
                <w:sz w:val="20"/>
              </w:rPr>
              <w:t>32个科室。</w:t>
            </w:r>
          </w:p>
          <w:p>
            <w:pPr>
              <w:pStyle w:val="null3"/>
              <w:jc w:val="both"/>
            </w:pPr>
            <w:r>
              <w:drawing>
                <wp:inline distT="0" distR="0" distB="0" distL="0">
                  <wp:extent cx="1621155" cy="616988"/>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1621155" cy="616988"/>
                          </a:xfrm>
                          <a:prstGeom prst="rect">
                            <a:avLst/>
                          </a:prstGeom>
                        </pic:spPr>
                      </pic:pic>
                    </a:graphicData>
                  </a:graphic>
                </wp:inline>
              </w:drawing>
            </w:r>
          </w:p>
          <w:p>
            <w:pPr>
              <w:pStyle w:val="null3"/>
              <w:jc w:val="both"/>
            </w:pPr>
            <w:r>
              <w:drawing>
                <wp:inline distT="0" distR="0" distB="0" distL="0">
                  <wp:extent cx="1621155" cy="1105445"/>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1621155" cy="1105445"/>
                          </a:xfrm>
                          <a:prstGeom prst="rect">
                            <a:avLst/>
                          </a:prstGeom>
                        </pic:spPr>
                      </pic:pic>
                    </a:graphicData>
                  </a:graphic>
                </wp:inline>
              </w:drawing>
            </w:r>
          </w:p>
          <w:p>
            <w:pPr>
              <w:pStyle w:val="null3"/>
              <w:jc w:val="both"/>
            </w:pPr>
            <w:r>
              <w:drawing>
                <wp:inline distT="0" distR="0" distB="0" distL="0">
                  <wp:extent cx="1621155" cy="258193"/>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4"/>
                          <a:stretch>
                            <a:fillRect/>
                          </a:stretch>
                        </pic:blipFill>
                        <pic:spPr>
                          <a:xfrm>
                            <a:off x="0" y="0"/>
                            <a:ext cx="1621155" cy="258193"/>
                          </a:xfrm>
                          <a:prstGeom prst="rect">
                            <a:avLst/>
                          </a:prstGeom>
                        </pic:spPr>
                      </pic:pic>
                    </a:graphicData>
                  </a:graphic>
                </wp:inline>
              </w:drawing>
            </w:r>
          </w:p>
          <w:p>
            <w:pPr>
              <w:pStyle w:val="null3"/>
              <w:jc w:val="both"/>
            </w:pPr>
            <w:r>
              <w:rPr>
                <w:rFonts w:ascii="仿宋_GB2312" w:hAnsi="仿宋_GB2312" w:cs="仿宋_GB2312" w:eastAsia="仿宋_GB2312"/>
                <w:sz w:val="20"/>
                <w:b/>
              </w:rPr>
              <w:t>四、项目预算</w:t>
            </w:r>
          </w:p>
          <w:tbl>
            <w:tblPr>
              <w:tblInd w:type="dxa" w:w="120"/>
              <w:tblBorders>
                <w:top w:val="none" w:color="000000" w:sz="4"/>
                <w:left w:val="none" w:color="000000" w:sz="4"/>
                <w:bottom w:val="none" w:color="000000" w:sz="4"/>
                <w:right w:val="none" w:color="000000" w:sz="4"/>
                <w:insideH w:val="none"/>
                <w:insideV w:val="none"/>
              </w:tblBorders>
            </w:tblPr>
            <w:tblGrid>
              <w:gridCol w:w="440"/>
              <w:gridCol w:w="669"/>
              <w:gridCol w:w="1092"/>
              <w:gridCol w:w="352"/>
            </w:tblGrid>
            <w:tr>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执行</w:t>
                  </w:r>
                </w:p>
                <w:p>
                  <w:pPr>
                    <w:pStyle w:val="null3"/>
                    <w:jc w:val="center"/>
                  </w:pPr>
                  <w:r>
                    <w:rPr>
                      <w:rFonts w:ascii="仿宋_GB2312" w:hAnsi="仿宋_GB2312" w:cs="仿宋_GB2312" w:eastAsia="仿宋_GB2312"/>
                      <w:sz w:val="20"/>
                      <w:b/>
                    </w:rPr>
                    <w:t>内容</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尺寸</w:t>
                  </w:r>
                </w:p>
              </w:tc>
              <w:tc>
                <w:tcPr>
                  <w:tcW w:type="dxa" w:w="1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材质</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科室品牌形象墙</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4000mm*1500mm</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2cmPVC+1.9cm亚克力UV（双层）</w:t>
                  </w:r>
                </w:p>
                <w:p>
                  <w:pPr>
                    <w:pStyle w:val="null3"/>
                    <w:jc w:val="center"/>
                  </w:pPr>
                  <w:r>
                    <w:rPr>
                      <w:rFonts w:ascii="仿宋_GB2312" w:hAnsi="仿宋_GB2312" w:cs="仿宋_GB2312" w:eastAsia="仿宋_GB2312"/>
                      <w:sz w:val="20"/>
                    </w:rPr>
                    <w:t>PVC+磁吸板（水晶膜加面材）</w:t>
                  </w:r>
                </w:p>
                <w:p>
                  <w:pPr>
                    <w:pStyle w:val="null3"/>
                    <w:jc w:val="center"/>
                  </w:pPr>
                  <w:r>
                    <w:rPr>
                      <w:rFonts w:ascii="仿宋_GB2312" w:hAnsi="仿宋_GB2312" w:cs="仿宋_GB2312" w:eastAsia="仿宋_GB2312"/>
                      <w:sz w:val="20"/>
                    </w:rPr>
                    <w:t>8mm亚克力雕刻水晶字</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科室荣誉形象墙</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4300mm*1100mm</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2cmPVC+1.9cm亚克力UV（双层）</w:t>
                  </w:r>
                </w:p>
                <w:p>
                  <w:pPr>
                    <w:pStyle w:val="null3"/>
                    <w:jc w:val="center"/>
                  </w:pPr>
                  <w:r>
                    <w:rPr>
                      <w:rFonts w:ascii="仿宋_GB2312" w:hAnsi="仿宋_GB2312" w:cs="仿宋_GB2312" w:eastAsia="仿宋_GB2312"/>
                      <w:sz w:val="20"/>
                    </w:rPr>
                    <w:t>PVC+磁吸板（水晶膜加面材）</w:t>
                  </w:r>
                </w:p>
                <w:p>
                  <w:pPr>
                    <w:pStyle w:val="null3"/>
                    <w:jc w:val="center"/>
                  </w:pPr>
                  <w:r>
                    <w:rPr>
                      <w:rFonts w:ascii="仿宋_GB2312" w:hAnsi="仿宋_GB2312" w:cs="仿宋_GB2312" w:eastAsia="仿宋_GB2312"/>
                      <w:sz w:val="20"/>
                    </w:rPr>
                    <w:t>8mm亚克力雕刻水晶字</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科室文化形象墙</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w:t>
                  </w:r>
                  <w:r>
                    <w:rPr>
                      <w:rFonts w:ascii="仿宋_GB2312" w:hAnsi="仿宋_GB2312" w:cs="仿宋_GB2312" w:eastAsia="仿宋_GB2312"/>
                      <w:sz w:val="20"/>
                    </w:rPr>
                    <w:t>6000mm*1100mm</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1.5PVC+附钢化膜及封边+uv磁吸板</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诊室立式门牌</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宽</w:t>
                  </w:r>
                  <w:r>
                    <w:rPr>
                      <w:rFonts w:ascii="仿宋_GB2312" w:hAnsi="仿宋_GB2312" w:cs="仿宋_GB2312" w:eastAsia="仿宋_GB2312"/>
                      <w:sz w:val="20"/>
                    </w:rPr>
                    <w:t>400mm*高140mm</w:t>
                  </w:r>
                </w:p>
              </w:tc>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磁吸可更换双面亚克力造型</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预估</w:t>
                  </w:r>
                  <w:r>
                    <w:rPr>
                      <w:rFonts w:ascii="仿宋_GB2312" w:hAnsi="仿宋_GB2312" w:cs="仿宋_GB2312" w:eastAsia="仿宋_GB2312"/>
                      <w:sz w:val="20"/>
                    </w:rPr>
                    <w:t>477</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全部设计定稿签字确认后60个工作日内完工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1-1、合同文本、合同附件、竞争性磋商文件、竞争性磋商响应文件。 1-2、国内相应的标准、规范。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签订合同并设计稿定稿后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在验收工作完成365个日历天后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1、合同争议的解决，合同执行中发生争议的，当事人双方应当协商解决，协商达不成一致时，可向采购人住所地人民法院提起诉讼。 2、合同一经签订，无特殊原因，不得擅自变更、中止或者终止合同。确需变更、调整或者中止、终止合同的，应按规定履行相应的手续。</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1、为顺利推进政府采购电子化交易平台试点应用工作，供应商需要在线提交所有通过电子化交易平台实施的政府采购项目的响应文件，发布成交结果公告后，成交供应商应及时向采购代理机构 提交一正二副，书籍（胶装）方式装订的盖章的纸质文件，若正本和副本不一致的，以正本为准。送至陕西省西安市未央区朱宏路福清商会大厦11楼1101室（陕西华达峰信项目管理有限公司）。 2、供应商务必在开标截止时间30分钟前，通过项目电子化交易系统进行签到，如未进行签到，产生的一起后果由供应商自行承担。3、本项目需落实的政府采购政策：（1）《国务院办公厅关于建立政府强制采购节能产品制度的通知》（国办发〔2007〕51号）；（2）《关于印发环境标志产品政府采购品目清单的通知》（财库〔2019〕18号）（3）《关于印发节能产品政府采购品目清单的通知》（财库〔2019〕19号）（4）《财政部 司法部关于政府采购支持监狱企业发展有关问题的通知》（财库〔2014〕68号）；（5）《关于促进残疾人就业政府采购政策的通知》（财库〔2017〕141号）；（6）《关于调整优化节能产品、环境标志产品政府采购执行机制的通知》（财库〔2019〕9号）；（7）《关于运用政府采购政策支持乡村产业振兴的通知》（财库〔2021〕19号）；（8）《政府采购促进中小企业发展管理办法》（财库〔2020〕46号）；（9）《陕西省财政厅关于印发&lt;陕西省中小企业政府采购信用融资办法&gt;的通知》（陕财办采〔2018〕23 号）；（10）陕西省财政厅《关于进一步加强政府绿色采购有关问题的通知》（陕财办采〔2021〕29号）；（11）《关于进一步加大政府采购支持中小企业力度的通知》（财库〔2022〕19号）；（12）《关于扩大政府采购支持绿色建材促进建筑品质提升政策实施范围的通知》（财库〔2022〕35号）；（13）陕西省财政厅 中国人民银行西安分行关于深入推进政府采购信用融资业务通知(陕财办采〔2023〕5号)；（14）其他需执行的政府采购政策。4、本项目专门面向中小企业采购。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具有独立承担民事责任能力的法人，其他组织或自然人，并出具合法有效的统一社会信用代码的营业执照或事业单位法人证书等国家规定的相关证明，自然人参与地提供其身份证明。</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其他形式供应商参照法人企业执行；被授权人须提供在本单位缴纳的社保记录（磋商响应文件递交截止时间前连续三个月）。</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提供2024年度的审计报告（成立时间至提交投标文件截止时间不足一年的可提供成立后任意时段的资产负债表），或其基本存款账户开户银行出具的资信证明及基本存款账户开户许可证（基本账户信息表）。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提供投标截止时间前6个月内至少一个月的社会保障资金缴存单据或社保机构开具的社会保险参保缴费情况证明，依法不需要缴纳社会保障资金的单位应提供相关证明材料。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本项目不接受由西安市长安区医院职工及其亲属投资开办的企业参加本单位的政府采购活动（提供承诺函）。</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磋商响应文件（格式）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内容无重大缺漏项，报价唯一，且没有高于采购预算及最高限价。</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响应文件的签署、加盖印章是否合格、有效；提供的相关证明文件、数据、资料是否齐全、有效。</w:t>
            </w:r>
          </w:p>
        </w:tc>
        <w:tc>
          <w:tcPr>
            <w:tcW w:type="dxa" w:w="1661"/>
          </w:tcPr>
          <w:p>
            <w:pPr>
              <w:pStyle w:val="null3"/>
            </w:pPr>
            <w:r>
              <w:rPr>
                <w:rFonts w:ascii="仿宋_GB2312" w:hAnsi="仿宋_GB2312" w:cs="仿宋_GB2312" w:eastAsia="仿宋_GB2312"/>
              </w:rPr>
              <w:t>响应文件封面 磋商响应文件（格式）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磋商响应文件（格式）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其他无效投标情形</w:t>
            </w:r>
          </w:p>
        </w:tc>
        <w:tc>
          <w:tcPr>
            <w:tcW w:type="dxa" w:w="3322"/>
          </w:tcPr>
          <w:p>
            <w:pPr>
              <w:pStyle w:val="null3"/>
            </w:pPr>
            <w:r>
              <w:rPr>
                <w:rFonts w:ascii="仿宋_GB2312" w:hAnsi="仿宋_GB2312" w:cs="仿宋_GB2312" w:eastAsia="仿宋_GB2312"/>
              </w:rPr>
              <w:t>无磋商文件规定的其他无效投标情形。</w:t>
            </w:r>
          </w:p>
        </w:tc>
        <w:tc>
          <w:tcPr>
            <w:tcW w:type="dxa" w:w="1661"/>
          </w:tcPr>
          <w:p>
            <w:pPr>
              <w:pStyle w:val="null3"/>
            </w:pPr>
            <w:r>
              <w:rPr>
                <w:rFonts w:ascii="仿宋_GB2312" w:hAnsi="仿宋_GB2312" w:cs="仿宋_GB2312" w:eastAsia="仿宋_GB2312"/>
              </w:rPr>
              <w:t>磋商响应文件（格式）</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整体设计方案</w:t>
            </w:r>
          </w:p>
        </w:tc>
        <w:tc>
          <w:tcPr>
            <w:tcW w:type="dxa" w:w="2492"/>
          </w:tcPr>
          <w:p>
            <w:pPr>
              <w:pStyle w:val="null3"/>
            </w:pPr>
            <w:r>
              <w:rPr>
                <w:rFonts w:ascii="仿宋_GB2312" w:hAnsi="仿宋_GB2312" w:cs="仿宋_GB2312" w:eastAsia="仿宋_GB2312"/>
              </w:rPr>
              <w:t>各供应商根据采购技术要求提供相应的设计方案(包括不限于初步效果图、材料选用、工艺结构等) 1、设计方案详细具体，总体表现效果符合采购人对项目实际使用需求得15.1-20分; 2、设计方案较详细，总体表现效果基本符合采购人对项目实际使用需求得 7.1-15分: 3、设计方案一般详细，总体表现效果不完全符合采购人对项目实际使用需求得0.1-7分; 4、设计方案不详细，总体表现效果不符合采购人对项目实际使用需求得0分。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w:t>
            </w:r>
          </w:p>
        </w:tc>
      </w:tr>
      <w:tr>
        <w:tc>
          <w:tcPr>
            <w:tcW w:type="dxa" w:w="831"/>
            <w:vMerge/>
          </w:tcPr>
          <w:p/>
        </w:tc>
        <w:tc>
          <w:tcPr>
            <w:tcW w:type="dxa" w:w="1661"/>
          </w:tcPr>
          <w:p>
            <w:pPr>
              <w:pStyle w:val="null3"/>
            </w:pPr>
            <w:r>
              <w:rPr>
                <w:rFonts w:ascii="仿宋_GB2312" w:hAnsi="仿宋_GB2312" w:cs="仿宋_GB2312" w:eastAsia="仿宋_GB2312"/>
              </w:rPr>
              <w:t>产品制作工艺</w:t>
            </w:r>
          </w:p>
        </w:tc>
        <w:tc>
          <w:tcPr>
            <w:tcW w:type="dxa" w:w="2492"/>
          </w:tcPr>
          <w:p>
            <w:pPr>
              <w:pStyle w:val="null3"/>
            </w:pPr>
            <w:r>
              <w:rPr>
                <w:rFonts w:ascii="仿宋_GB2312" w:hAnsi="仿宋_GB2312" w:cs="仿宋_GB2312" w:eastAsia="仿宋_GB2312"/>
              </w:rPr>
              <w:t>1.产品选型合理，产品配置齐全，数量准确、规格描述详细，制作工艺先进，完全满足采购需求，提供丰富相关证明材料（生产设备等）得8分； 2.产品选型较为合理，数量准确，配置达标，制作工艺标准，设备配置说明，基本满足采购需求，提供部分相关证明材料（生产设备等）得6分； 3.产品配置齐全，数量准确，制作工艺标准得4分； 4.产品选型不合理，制作工艺粗糙得2分； 5.未提供相关内容得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w:t>
            </w:r>
          </w:p>
        </w:tc>
      </w:tr>
      <w:tr>
        <w:tc>
          <w:tcPr>
            <w:tcW w:type="dxa" w:w="831"/>
            <w:vMerge/>
          </w:tcPr>
          <w:p/>
        </w:tc>
        <w:tc>
          <w:tcPr>
            <w:tcW w:type="dxa" w:w="1661"/>
          </w:tcPr>
          <w:p>
            <w:pPr>
              <w:pStyle w:val="null3"/>
            </w:pPr>
            <w:r>
              <w:rPr>
                <w:rFonts w:ascii="仿宋_GB2312" w:hAnsi="仿宋_GB2312" w:cs="仿宋_GB2312" w:eastAsia="仿宋_GB2312"/>
              </w:rPr>
              <w:t>产品材质</w:t>
            </w:r>
          </w:p>
        </w:tc>
        <w:tc>
          <w:tcPr>
            <w:tcW w:type="dxa" w:w="2492"/>
          </w:tcPr>
          <w:p>
            <w:pPr>
              <w:pStyle w:val="null3"/>
            </w:pPr>
            <w:r>
              <w:rPr>
                <w:rFonts w:ascii="仿宋_GB2312" w:hAnsi="仿宋_GB2312" w:cs="仿宋_GB2312" w:eastAsia="仿宋_GB2312"/>
              </w:rPr>
              <w:t>供应商所投产品材质、规格、质量，安全性、环保性、耐用性等进行赋分（提供检测报告、原材料进货渠道证明材料、环保证书等相关证明材料）。 1.供应商所投产品完全符合或优于采购需求，提供的证明材料丰富、齐全，得8分。 2.供应商所投产品基本符合采购需求，提供部分证明材料，得6分； 3.供应商所投产品部分符合采购需求，提供部分证明材料得4分； 4.供应商所投产品部分符合采购需求，未提供证明材料得2分； 5.供应商未提供相关内容得0分。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w:t>
            </w:r>
          </w:p>
        </w:tc>
      </w:tr>
      <w:tr>
        <w:tc>
          <w:tcPr>
            <w:tcW w:type="dxa" w:w="831"/>
            <w:vMerge/>
          </w:tcPr>
          <w:p/>
        </w:tc>
        <w:tc>
          <w:tcPr>
            <w:tcW w:type="dxa" w:w="1661"/>
          </w:tcPr>
          <w:p>
            <w:pPr>
              <w:pStyle w:val="null3"/>
            </w:pPr>
            <w:r>
              <w:rPr>
                <w:rFonts w:ascii="仿宋_GB2312" w:hAnsi="仿宋_GB2312" w:cs="仿宋_GB2312" w:eastAsia="仿宋_GB2312"/>
              </w:rPr>
              <w:t>供货及实施方案</w:t>
            </w:r>
          </w:p>
        </w:tc>
        <w:tc>
          <w:tcPr>
            <w:tcW w:type="dxa" w:w="2492"/>
          </w:tcPr>
          <w:p>
            <w:pPr>
              <w:pStyle w:val="null3"/>
            </w:pPr>
            <w:r>
              <w:rPr>
                <w:rFonts w:ascii="仿宋_GB2312" w:hAnsi="仿宋_GB2312" w:cs="仿宋_GB2312" w:eastAsia="仿宋_GB2312"/>
              </w:rPr>
              <w:t>1.供货及实施方案具体合理可行详细，组织实施方案的科学性、合理性、规范性、可操作性等，包括材料采购、生产及供货、使用维护、检测等内容，以及管理和协调方法、关键步骤的重点和要点等得8分； 2.提供供货及实施方案，方案基本合理可行得6分； 3.供货及实施方案不详细，实施方案与实际情况差距较大，不符合实际情况得4分； 4.供货及实施方案有缺漏，且不符合实际情况得2分； 5.供应商未提供相关内容得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w:t>
            </w:r>
          </w:p>
        </w:tc>
      </w:tr>
      <w:tr>
        <w:tc>
          <w:tcPr>
            <w:tcW w:type="dxa" w:w="831"/>
            <w:vMerge/>
          </w:tcPr>
          <w:p/>
        </w:tc>
        <w:tc>
          <w:tcPr>
            <w:tcW w:type="dxa" w:w="1661"/>
          </w:tcPr>
          <w:p>
            <w:pPr>
              <w:pStyle w:val="null3"/>
            </w:pPr>
            <w:r>
              <w:rPr>
                <w:rFonts w:ascii="仿宋_GB2312" w:hAnsi="仿宋_GB2312" w:cs="仿宋_GB2312" w:eastAsia="仿宋_GB2312"/>
              </w:rPr>
              <w:t>安全安装措施方案</w:t>
            </w:r>
          </w:p>
        </w:tc>
        <w:tc>
          <w:tcPr>
            <w:tcW w:type="dxa" w:w="2492"/>
          </w:tcPr>
          <w:p>
            <w:pPr>
              <w:pStyle w:val="null3"/>
            </w:pPr>
            <w:r>
              <w:rPr>
                <w:rFonts w:ascii="仿宋_GB2312" w:hAnsi="仿宋_GB2312" w:cs="仿宋_GB2312" w:eastAsia="仿宋_GB2312"/>
              </w:rPr>
              <w:t>1.供应商提供详细的，针对本项目具体可行的安全安装措施方案，能够保质保量完成本次项目的服务承诺，合理、可操作性强得7分； 2.供应商提供完整的安全安装措施方案，服务承诺完整，能够保障项目的顺利实施得5分； 3.供应商提供了安全安装措施实施方案，服务承诺完整，能保障项目实施得3分； 4.供应商提供的安全安装实施方案及服务承诺较简单得 1 分； 5.供应商未提供相关内容得 0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w:t>
            </w:r>
          </w:p>
        </w:tc>
      </w:tr>
      <w:tr>
        <w:tc>
          <w:tcPr>
            <w:tcW w:type="dxa" w:w="831"/>
            <w:vMerge/>
          </w:tcPr>
          <w:p/>
        </w:tc>
        <w:tc>
          <w:tcPr>
            <w:tcW w:type="dxa" w:w="1661"/>
          </w:tcPr>
          <w:p>
            <w:pPr>
              <w:pStyle w:val="null3"/>
            </w:pPr>
            <w:r>
              <w:rPr>
                <w:rFonts w:ascii="仿宋_GB2312" w:hAnsi="仿宋_GB2312" w:cs="仿宋_GB2312" w:eastAsia="仿宋_GB2312"/>
              </w:rPr>
              <w:t>安装进度措施方案</w:t>
            </w:r>
          </w:p>
        </w:tc>
        <w:tc>
          <w:tcPr>
            <w:tcW w:type="dxa" w:w="2492"/>
          </w:tcPr>
          <w:p>
            <w:pPr>
              <w:pStyle w:val="null3"/>
            </w:pPr>
            <w:r>
              <w:rPr>
                <w:rFonts w:ascii="仿宋_GB2312" w:hAnsi="仿宋_GB2312" w:cs="仿宋_GB2312" w:eastAsia="仿宋_GB2312"/>
              </w:rPr>
              <w:t>1.供应商提供详细的生产制作、送货安装、技术服务的进度安排等，规范合理、有保障，详细描述安装进度、成品保护制度得6分； 2.供应商提供完整的生产制作、送货安装、技术服务的进度安排等，规范合理得4分； 3.供应商提供的安装进度措施方案较简单得2分； 4.供应商未提供相关内容得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w:t>
            </w:r>
          </w:p>
        </w:tc>
      </w:tr>
      <w:tr>
        <w:tc>
          <w:tcPr>
            <w:tcW w:type="dxa" w:w="831"/>
            <w:vMerge/>
          </w:tcPr>
          <w:p/>
        </w:tc>
        <w:tc>
          <w:tcPr>
            <w:tcW w:type="dxa" w:w="1661"/>
          </w:tcPr>
          <w:p>
            <w:pPr>
              <w:pStyle w:val="null3"/>
            </w:pPr>
            <w:r>
              <w:rPr>
                <w:rFonts w:ascii="仿宋_GB2312" w:hAnsi="仿宋_GB2312" w:cs="仿宋_GB2312" w:eastAsia="仿宋_GB2312"/>
              </w:rPr>
              <w:t>人员安排</w:t>
            </w:r>
          </w:p>
        </w:tc>
        <w:tc>
          <w:tcPr>
            <w:tcW w:type="dxa" w:w="2492"/>
          </w:tcPr>
          <w:p>
            <w:pPr>
              <w:pStyle w:val="null3"/>
            </w:pPr>
            <w:r>
              <w:rPr>
                <w:rFonts w:ascii="仿宋_GB2312" w:hAnsi="仿宋_GB2312" w:cs="仿宋_GB2312" w:eastAsia="仿宋_GB2312"/>
              </w:rPr>
              <w:t>供应商配备合理充足的人员确保项目实施。 1.供应商提供详细的人员配备方案，人员配备齐全，并提供详细的人员证明资料等，得6分； 2.供应商提供人员配备方案合理，提供部分相关人员证明资料，得4分； 3.供应商提供人员配备方案较单薄，得2分； 4.供应商未提供相关内容得0分。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1.供应商提供详细的针对突发事件的应急预案措施高效、切实可行、针对性强得6分； 2.供应商提供完整的应急预案，切实可行，能够保证项目的顺利实施得4分； 3.供应商提供的应急预案较简单得2分； 4.供应商未提供相关内容得0分。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1.供应商的企业管理体制健全、组织构架清晰、职责分明、信誉度良好得5分； 2.供应商的企业管理体制健全，组织构架较清晰、职责分明、信誉度较好得3分； 3.供应商的企业管理体制完整得1分； 4.供应商提供的企业经营体制不合理或未提供相关证明资料得0分。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w:t>
            </w:r>
          </w:p>
        </w:tc>
      </w:tr>
      <w:tr>
        <w:tc>
          <w:tcPr>
            <w:tcW w:type="dxa" w:w="831"/>
            <w:vMerge/>
          </w:tcPr>
          <w:p/>
        </w:tc>
        <w:tc>
          <w:tcPr>
            <w:tcW w:type="dxa" w:w="1661"/>
          </w:tcPr>
          <w:p>
            <w:pPr>
              <w:pStyle w:val="null3"/>
            </w:pPr>
            <w:r>
              <w:rPr>
                <w:rFonts w:ascii="仿宋_GB2312" w:hAnsi="仿宋_GB2312" w:cs="仿宋_GB2312" w:eastAsia="仿宋_GB2312"/>
              </w:rPr>
              <w:t>售后服务及措施</w:t>
            </w:r>
          </w:p>
        </w:tc>
        <w:tc>
          <w:tcPr>
            <w:tcW w:type="dxa" w:w="2492"/>
          </w:tcPr>
          <w:p>
            <w:pPr>
              <w:pStyle w:val="null3"/>
            </w:pPr>
            <w:r>
              <w:rPr>
                <w:rFonts w:ascii="仿宋_GB2312" w:hAnsi="仿宋_GB2312" w:cs="仿宋_GB2312" w:eastAsia="仿宋_GB2312"/>
              </w:rPr>
              <w:t>1.供应商针对本项目及采购人实际需求提供详细具体可行的售后服务方案，包括但不限于拟投入售后服务人员配置情况、响应产品的保修时间、保修期内的保修内容与范围、项目交付采购人后出现故障的响应时间、解决故障时间、补救措施等，同时具有明确的售后服务承诺且符合采购人实际需求得6分； 2.售后服务承诺基本详细、具体、可行、完整得4分； 3.售后服务简单得2分； 4.供应商未提供相关内容得0分。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根据供应商提供的自2022年10月1日以来类似业绩证明材料，每个有效业绩得2分，满分 10 分（以合同签订时间为准，合同、协议复印件加盖公章装订在磋商文件中，否则不作为评审依据）。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jpe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