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版本号：HRC-ZBDL-2025-0141620251011001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森林消防用应急通信基站采购项目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HRC-ZBDL-2025-01416</w:t>
      </w:r>
      <w:r>
        <w:br/>
      </w:r>
      <w:r>
        <w:br/>
      </w:r>
      <w:r>
        <w:br/>
      </w:r>
      <w:r>
        <w:br/>
      </w:r>
      <w:r>
        <w:br/>
      </w:r>
    </w:p>
    <w:p>
      <w:pPr>
        <w:pStyle w:val="null3"/>
        <w:jc w:val="center"/>
        <w:outlineLvl w:val="5"/>
      </w:pPr>
      <w:r>
        <w:rPr>
          <w:rFonts w:ascii="仿宋_GB2312" w:hAnsi="仿宋_GB2312" w:cs="仿宋_GB2312" w:eastAsia="仿宋_GB2312"/>
          <w:sz w:val="15"/>
          <w:b/>
        </w:rPr>
        <w:t>西安市长安区秦岭生态环境保护和综合执法局</w:t>
      </w:r>
    </w:p>
    <w:p>
      <w:pPr>
        <w:pStyle w:val="null3"/>
        <w:jc w:val="center"/>
        <w:outlineLvl w:val="5"/>
      </w:pPr>
      <w:r>
        <w:rPr>
          <w:rFonts w:ascii="仿宋_GB2312" w:hAnsi="仿宋_GB2312" w:cs="仿宋_GB2312" w:eastAsia="仿宋_GB2312"/>
          <w:sz w:val="15"/>
          <w:b/>
        </w:rPr>
        <w:t>华睿诚项目管理有限公司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2025年10月22日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西安市长安区秦岭生态环境保护和综合执法局</w:t>
      </w:r>
      <w:r>
        <w:rPr>
          <w:rFonts w:ascii="仿宋_GB2312" w:hAnsi="仿宋_GB2312" w:cs="仿宋_GB2312" w:eastAsia="仿宋_GB2312"/>
        </w:rPr>
        <w:t>委托，拟对</w:t>
      </w:r>
      <w:r>
        <w:rPr>
          <w:rFonts w:ascii="仿宋_GB2312" w:hAnsi="仿宋_GB2312" w:cs="仿宋_GB2312" w:eastAsia="仿宋_GB2312"/>
        </w:rPr>
        <w:t>森林消防用应急通信基站采购项目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HRC-ZBDL-2025-01416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森林消防用应急通信基站采购项目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西安市长安区秦岭生态环境保护和综合执法局应急通讯基站项目拟采购的货物专业数字通讯基站、背负式中转站、专业数字车载台、基地台、手持终端等。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采购包1（森林消防用应急通信基站采购项目）：属于专门面向中小企业采购。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1、法定代表人授权书/法定代表人证明：法定代表人授权书（附法定代表人、被授权人身份证复印件）,法定代表人直接参加谈判，须提供法定代表人身份证明。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西安市长安区秦岭生态环境保护和综合执法局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西安市长安区西沣南路祥瑞佳苑西北侧约80米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张晓强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029-84189607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冯延平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原国家计委关于印发《招标代理服务收费管理暂行办法》的通知、《招标代理服务收费管理暂行办法》(计价格[2002]1980号)规定的收费标准、国家发展改革委员会办公厅颁发的《关于招标代理服务收费有关问题的通知》（发改办价格[2003]857号）的有关规定计算。 银行账号：西安银行小寨东路支行816011580000101224，企业名称：华睿诚项目管理有限公司</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西安市长安区秦岭生态环境保护和综合执法局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西安市长安区秦岭生态环境保护和综合执法局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达到国家或行业质量验收合格标准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西安市长安区秦岭生态环境保护和综合执法局应急通讯基站项目拟采购的货物专业数字通讯基站、背负式中转站、专业数字车载台、基地台、手持终端等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350000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1"/>
              <w:gridCol w:w="496"/>
              <w:gridCol w:w="1364"/>
              <w:gridCol w:w="211"/>
              <w:gridCol w:w="246"/>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数字手持终端</w:t>
                  </w:r>
                </w:p>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 xml:space="preserve"> </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信道容量：</w:t>
                  </w:r>
                  <w:r>
                    <w:rPr>
                      <w:rFonts w:ascii="仿宋_GB2312" w:hAnsi="仿宋_GB2312" w:cs="仿宋_GB2312" w:eastAsia="仿宋_GB2312"/>
                      <w:sz w:val="20"/>
                    </w:rPr>
                    <w:t>≥1000</w:t>
                  </w:r>
                </w:p>
                <w:p>
                  <w:pPr>
                    <w:pStyle w:val="null3"/>
                    <w:jc w:val="left"/>
                  </w:pPr>
                  <w:r>
                    <w:rPr>
                      <w:rFonts w:ascii="仿宋_GB2312" w:hAnsi="仿宋_GB2312" w:cs="仿宋_GB2312" w:eastAsia="仿宋_GB2312"/>
                      <w:sz w:val="20"/>
                    </w:rPr>
                    <w:t>区域容量：</w:t>
                  </w:r>
                  <w:r>
                    <w:rPr>
                      <w:rFonts w:ascii="仿宋_GB2312" w:hAnsi="仿宋_GB2312" w:cs="仿宋_GB2312" w:eastAsia="仿宋_GB2312"/>
                      <w:sz w:val="20"/>
                    </w:rPr>
                    <w:t>≥64（每区域支持不少于32组）</w:t>
                  </w:r>
                </w:p>
                <w:p>
                  <w:pPr>
                    <w:pStyle w:val="null3"/>
                    <w:jc w:val="left"/>
                  </w:pPr>
                  <w:r>
                    <w:rPr>
                      <w:rFonts w:ascii="仿宋_GB2312" w:hAnsi="仿宋_GB2312" w:cs="仿宋_GB2312" w:eastAsia="仿宋_GB2312"/>
                      <w:sz w:val="20"/>
                    </w:rPr>
                    <w:t>频段范围：</w:t>
                  </w:r>
                  <w:r>
                    <w:rPr>
                      <w:rFonts w:ascii="仿宋_GB2312" w:hAnsi="仿宋_GB2312" w:cs="仿宋_GB2312" w:eastAsia="仿宋_GB2312"/>
                      <w:sz w:val="20"/>
                    </w:rPr>
                    <w:t>400-470MHz；</w:t>
                  </w:r>
                  <w:r>
                    <w:rPr>
                      <w:rFonts w:ascii="仿宋_GB2312" w:hAnsi="仿宋_GB2312" w:cs="仿宋_GB2312" w:eastAsia="仿宋_GB2312"/>
                      <w:sz w:val="20"/>
                      <w:color w:val="595757"/>
                    </w:rPr>
                    <w:t>350-400MHz ；136-174MHz；</w:t>
                  </w:r>
                </w:p>
                <w:p>
                  <w:pPr>
                    <w:pStyle w:val="null3"/>
                    <w:jc w:val="left"/>
                  </w:pPr>
                  <w:r>
                    <w:rPr>
                      <w:rFonts w:ascii="仿宋_GB2312" w:hAnsi="仿宋_GB2312" w:cs="仿宋_GB2312" w:eastAsia="仿宋_GB2312"/>
                      <w:sz w:val="20"/>
                    </w:rPr>
                    <w:t>频率稳定度：</w:t>
                  </w:r>
                  <w:r>
                    <w:rPr>
                      <w:rFonts w:ascii="仿宋_GB2312" w:hAnsi="仿宋_GB2312" w:cs="仿宋_GB2312" w:eastAsia="仿宋_GB2312"/>
                      <w:sz w:val="20"/>
                    </w:rPr>
                    <w:t>±0.5ppm</w:t>
                  </w:r>
                </w:p>
                <w:p>
                  <w:pPr>
                    <w:pStyle w:val="null3"/>
                    <w:jc w:val="left"/>
                  </w:pPr>
                  <w:r>
                    <w:rPr>
                      <w:rFonts w:ascii="仿宋_GB2312" w:hAnsi="仿宋_GB2312" w:cs="仿宋_GB2312" w:eastAsia="仿宋_GB2312"/>
                      <w:sz w:val="20"/>
                    </w:rPr>
                    <w:t>灵敏度：</w:t>
                  </w:r>
                  <w:r>
                    <w:rPr>
                      <w:rFonts w:ascii="仿宋_GB2312" w:hAnsi="仿宋_GB2312" w:cs="仿宋_GB2312" w:eastAsia="仿宋_GB2312"/>
                      <w:sz w:val="20"/>
                    </w:rPr>
                    <w:t>≤-122dBm。</w:t>
                  </w:r>
                </w:p>
                <w:p>
                  <w:pPr>
                    <w:pStyle w:val="null3"/>
                    <w:jc w:val="left"/>
                  </w:pPr>
                  <w:r>
                    <w:rPr>
                      <w:rFonts w:ascii="仿宋_GB2312" w:hAnsi="仿宋_GB2312" w:cs="仿宋_GB2312" w:eastAsia="仿宋_GB2312"/>
                      <w:sz w:val="20"/>
                    </w:rPr>
                    <w:t>接收音频最大功率：</w:t>
                  </w:r>
                  <w:r>
                    <w:rPr>
                      <w:rFonts w:ascii="仿宋_GB2312" w:hAnsi="仿宋_GB2312" w:cs="仿宋_GB2312" w:eastAsia="仿宋_GB2312"/>
                      <w:sz w:val="20"/>
                    </w:rPr>
                    <w:t>≥2.0W</w:t>
                  </w:r>
                </w:p>
                <w:p>
                  <w:pPr>
                    <w:pStyle w:val="null3"/>
                    <w:jc w:val="left"/>
                  </w:pPr>
                  <w:r>
                    <w:rPr>
                      <w:rFonts w:ascii="仿宋_GB2312" w:hAnsi="仿宋_GB2312" w:cs="仿宋_GB2312" w:eastAsia="仿宋_GB2312"/>
                      <w:sz w:val="20"/>
                    </w:rPr>
                    <w:t>电池容量：</w:t>
                  </w:r>
                  <w:r>
                    <w:rPr>
                      <w:rFonts w:ascii="仿宋_GB2312" w:hAnsi="仿宋_GB2312" w:cs="仿宋_GB2312" w:eastAsia="仿宋_GB2312"/>
                      <w:sz w:val="20"/>
                    </w:rPr>
                    <w:t>≥2600mAh，续航时间（5：5：90）模拟不小于16h，数字不小于20h。</w:t>
                  </w:r>
                </w:p>
                <w:p>
                  <w:pPr>
                    <w:pStyle w:val="null3"/>
                    <w:jc w:val="left"/>
                  </w:pPr>
                  <w:r>
                    <w:rPr>
                      <w:rFonts w:ascii="仿宋_GB2312" w:hAnsi="仿宋_GB2312" w:cs="仿宋_GB2312" w:eastAsia="仿宋_GB2312"/>
                      <w:sz w:val="20"/>
                    </w:rPr>
                    <w:t>整机重量：</w:t>
                  </w:r>
                  <w:r>
                    <w:rPr>
                      <w:rFonts w:ascii="仿宋_GB2312" w:hAnsi="仿宋_GB2312" w:cs="仿宋_GB2312" w:eastAsia="仿宋_GB2312"/>
                      <w:sz w:val="20"/>
                    </w:rPr>
                    <w:t>≤310g（标配电池天线）</w:t>
                  </w:r>
                </w:p>
                <w:p>
                  <w:pPr>
                    <w:pStyle w:val="null3"/>
                    <w:jc w:val="left"/>
                  </w:pPr>
                  <w:r>
                    <w:rPr>
                      <w:rFonts w:ascii="仿宋_GB2312" w:hAnsi="仿宋_GB2312" w:cs="仿宋_GB2312" w:eastAsia="仿宋_GB2312"/>
                      <w:sz w:val="20"/>
                    </w:rPr>
                    <w:t>整机尺寸（长</w:t>
                  </w:r>
                  <w:r>
                    <w:rPr>
                      <w:rFonts w:ascii="仿宋_GB2312" w:hAnsi="仿宋_GB2312" w:cs="仿宋_GB2312" w:eastAsia="仿宋_GB2312"/>
                      <w:sz w:val="20"/>
                    </w:rPr>
                    <w:t>*宽*高）：≤126*54.5*36.5mm（不含天线）</w:t>
                  </w:r>
                </w:p>
                <w:p>
                  <w:pPr>
                    <w:pStyle w:val="null3"/>
                    <w:jc w:val="left"/>
                  </w:pPr>
                  <w:r>
                    <w:rPr>
                      <w:rFonts w:ascii="仿宋_GB2312" w:hAnsi="仿宋_GB2312" w:cs="仿宋_GB2312" w:eastAsia="仿宋_GB2312"/>
                      <w:sz w:val="20"/>
                    </w:rPr>
                    <w:t>工作温度范围：包括</w:t>
                  </w:r>
                  <w:r>
                    <w:rPr>
                      <w:rFonts w:ascii="仿宋_GB2312" w:hAnsi="仿宋_GB2312" w:cs="仿宋_GB2312" w:eastAsia="仿宋_GB2312"/>
                      <w:sz w:val="20"/>
                    </w:rPr>
                    <w:t>-30°~+60°</w:t>
                  </w:r>
                </w:p>
                <w:p>
                  <w:pPr>
                    <w:pStyle w:val="null3"/>
                    <w:jc w:val="left"/>
                  </w:pPr>
                  <w:r>
                    <w:rPr>
                      <w:rFonts w:ascii="仿宋_GB2312" w:hAnsi="仿宋_GB2312" w:cs="仿宋_GB2312" w:eastAsia="仿宋_GB2312"/>
                      <w:sz w:val="20"/>
                    </w:rPr>
                    <w:t>存储温度范围：包括</w:t>
                  </w:r>
                  <w:r>
                    <w:rPr>
                      <w:rFonts w:ascii="仿宋_GB2312" w:hAnsi="仿宋_GB2312" w:cs="仿宋_GB2312" w:eastAsia="仿宋_GB2312"/>
                      <w:sz w:val="20"/>
                    </w:rPr>
                    <w:t>-40°~+85°</w:t>
                  </w:r>
                </w:p>
                <w:p>
                  <w:pPr>
                    <w:pStyle w:val="null3"/>
                    <w:jc w:val="left"/>
                  </w:pPr>
                  <w:r>
                    <w:rPr>
                      <w:rFonts w:ascii="仿宋_GB2312" w:hAnsi="仿宋_GB2312" w:cs="仿宋_GB2312" w:eastAsia="仿宋_GB2312"/>
                      <w:sz w:val="20"/>
                    </w:rPr>
                    <w:t>工作模式：支持数字集群、数字常规、模拟集群、模拟常规四种工作模式。</w:t>
                  </w:r>
                </w:p>
                <w:p>
                  <w:pPr>
                    <w:pStyle w:val="null3"/>
                    <w:jc w:val="left"/>
                  </w:pPr>
                  <w:r>
                    <w:rPr>
                      <w:rFonts w:ascii="仿宋_GB2312" w:hAnsi="仿宋_GB2312" w:cs="仿宋_GB2312" w:eastAsia="仿宋_GB2312"/>
                      <w:sz w:val="20"/>
                    </w:rPr>
                    <w:t>支持直通双时隙功能，最大限度利用频率资源。</w:t>
                  </w:r>
                </w:p>
                <w:p>
                  <w:pPr>
                    <w:pStyle w:val="null3"/>
                    <w:jc w:val="left"/>
                  </w:pPr>
                  <w:r>
                    <w:rPr>
                      <w:rFonts w:ascii="仿宋_GB2312" w:hAnsi="仿宋_GB2312" w:cs="仿宋_GB2312" w:eastAsia="仿宋_GB2312"/>
                      <w:sz w:val="20"/>
                    </w:rPr>
                    <w:t>侧面写频和音频接口具有</w:t>
                  </w:r>
                  <w:r>
                    <w:rPr>
                      <w:rFonts w:ascii="仿宋_GB2312" w:hAnsi="仿宋_GB2312" w:cs="仿宋_GB2312" w:eastAsia="仿宋_GB2312"/>
                      <w:sz w:val="20"/>
                    </w:rPr>
                    <w:t>IP68防水能力，支持防水触针式配件接口。</w:t>
                  </w:r>
                </w:p>
                <w:p>
                  <w:pPr>
                    <w:pStyle w:val="null3"/>
                    <w:jc w:val="left"/>
                  </w:pPr>
                  <w:r>
                    <w:rPr>
                      <w:rFonts w:ascii="仿宋_GB2312" w:hAnsi="仿宋_GB2312" w:cs="仿宋_GB2312" w:eastAsia="仿宋_GB2312"/>
                      <w:sz w:val="20"/>
                    </w:rPr>
                    <w:t>机器包含</w:t>
                  </w:r>
                  <w:r>
                    <w:rPr>
                      <w:rFonts w:ascii="仿宋_GB2312" w:hAnsi="仿宋_GB2312" w:cs="仿宋_GB2312" w:eastAsia="仿宋_GB2312"/>
                      <w:sz w:val="20"/>
                    </w:rPr>
                    <w:t>3个及以上可编程按键；支持配置高低功率切换、一键呼叫、区域切换、扫描开关、蓝牙连接等操作。</w:t>
                  </w:r>
                </w:p>
                <w:p>
                  <w:pPr>
                    <w:pStyle w:val="null3"/>
                    <w:jc w:val="left"/>
                  </w:pPr>
                  <w:r>
                    <w:rPr>
                      <w:rFonts w:ascii="仿宋_GB2312" w:hAnsi="仿宋_GB2312" w:cs="仿宋_GB2312" w:eastAsia="仿宋_GB2312"/>
                      <w:sz w:val="20"/>
                    </w:rPr>
                    <w:t>支持信道播报功能，能够语音播报当前信道号。</w:t>
                  </w:r>
                </w:p>
                <w:p>
                  <w:pPr>
                    <w:pStyle w:val="null3"/>
                    <w:jc w:val="left"/>
                  </w:pPr>
                  <w:r>
                    <w:rPr>
                      <w:rFonts w:ascii="仿宋_GB2312" w:hAnsi="仿宋_GB2312" w:cs="仿宋_GB2312" w:eastAsia="仿宋_GB2312"/>
                      <w:sz w:val="20"/>
                    </w:rPr>
                    <w:t>旋钮：支持双旋钮，分为音量</w:t>
                  </w:r>
                  <w:r>
                    <w:rPr>
                      <w:rFonts w:ascii="仿宋_GB2312" w:hAnsi="仿宋_GB2312" w:cs="仿宋_GB2312" w:eastAsia="仿宋_GB2312"/>
                      <w:sz w:val="20"/>
                    </w:rPr>
                    <w:t>/开关旋钮和信道旋钮，其中信道旋钮为无极性旋钮，可快速切换信道。</w:t>
                  </w:r>
                </w:p>
                <w:p>
                  <w:pPr>
                    <w:pStyle w:val="null3"/>
                    <w:jc w:val="left"/>
                  </w:pPr>
                  <w:r>
                    <w:rPr>
                      <w:rFonts w:ascii="仿宋_GB2312" w:hAnsi="仿宋_GB2312" w:cs="仿宋_GB2312" w:eastAsia="仿宋_GB2312"/>
                      <w:sz w:val="20"/>
                    </w:rPr>
                    <w:t>实时时间：通过菜单可设置手持台的日期和时间，在常规直通状态下可显示实时时间，并且更换电池也不会导致时间丢失</w:t>
                  </w:r>
                </w:p>
                <w:p>
                  <w:pPr>
                    <w:pStyle w:val="null3"/>
                    <w:jc w:val="left"/>
                  </w:pPr>
                  <w:r>
                    <w:rPr>
                      <w:rFonts w:ascii="仿宋_GB2312" w:hAnsi="仿宋_GB2312" w:cs="仿宋_GB2312" w:eastAsia="仿宋_GB2312"/>
                      <w:sz w:val="20"/>
                    </w:rPr>
                    <w:t>短信：在常规模式下，支持中文短信的接收，支持个呼、组呼中文短信，最大支持</w:t>
                  </w:r>
                  <w:r>
                    <w:rPr>
                      <w:rFonts w:ascii="仿宋_GB2312" w:hAnsi="仿宋_GB2312" w:cs="仿宋_GB2312" w:eastAsia="仿宋_GB2312"/>
                      <w:sz w:val="20"/>
                    </w:rPr>
                    <w:t>512个中文字符。</w:t>
                  </w:r>
                </w:p>
                <w:p>
                  <w:pPr>
                    <w:pStyle w:val="null3"/>
                    <w:jc w:val="left"/>
                  </w:pPr>
                  <w:r>
                    <w:rPr>
                      <w:rFonts w:ascii="仿宋_GB2312" w:hAnsi="仿宋_GB2312" w:cs="仿宋_GB2312" w:eastAsia="仿宋_GB2312"/>
                      <w:sz w:val="20"/>
                    </w:rPr>
                    <w:t>显示屏尺寸：</w:t>
                  </w:r>
                  <w:r>
                    <w:rPr>
                      <w:rFonts w:ascii="仿宋_GB2312" w:hAnsi="仿宋_GB2312" w:cs="仿宋_GB2312" w:eastAsia="仿宋_GB2312"/>
                      <w:sz w:val="20"/>
                    </w:rPr>
                    <w:t>≥2.0寸高清彩屏，240*320分辨率，且不少于6行文本显示。</w:t>
                  </w:r>
                </w:p>
                <w:p>
                  <w:pPr>
                    <w:pStyle w:val="null3"/>
                    <w:jc w:val="left"/>
                  </w:pPr>
                  <w:r>
                    <w:rPr>
                      <w:rFonts w:ascii="仿宋_GB2312" w:hAnsi="仿宋_GB2312" w:cs="仿宋_GB2312" w:eastAsia="仿宋_GB2312"/>
                      <w:sz w:val="20"/>
                    </w:rPr>
                    <w:t>支持全数字键盘进行拨号操作，方便使用。</w:t>
                  </w:r>
                </w:p>
                <w:p>
                  <w:pPr>
                    <w:pStyle w:val="null3"/>
                    <w:jc w:val="left"/>
                  </w:pPr>
                  <w:r>
                    <w:rPr>
                      <w:rFonts w:ascii="仿宋_GB2312" w:hAnsi="仿宋_GB2312" w:cs="仿宋_GB2312" w:eastAsia="仿宋_GB2312"/>
                      <w:sz w:val="20"/>
                    </w:rPr>
                    <w:t>卫星定位方式：可选支持</w:t>
                  </w:r>
                  <w:r>
                    <w:rPr>
                      <w:rFonts w:ascii="仿宋_GB2312" w:hAnsi="仿宋_GB2312" w:cs="仿宋_GB2312" w:eastAsia="仿宋_GB2312"/>
                      <w:sz w:val="20"/>
                    </w:rPr>
                    <w:t>GPS/北斗定位功能。</w:t>
                  </w:r>
                </w:p>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专业数字通信基站</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频率范围：</w:t>
                  </w:r>
                  <w:r>
                    <w:rPr>
                      <w:rFonts w:ascii="仿宋_GB2312" w:hAnsi="仿宋_GB2312" w:cs="仿宋_GB2312" w:eastAsia="仿宋_GB2312"/>
                      <w:sz w:val="20"/>
                    </w:rPr>
                    <w:t>350-400MHz；400-470MHz；136-174MHz</w:t>
                  </w:r>
                </w:p>
                <w:p>
                  <w:pPr>
                    <w:pStyle w:val="null3"/>
                    <w:jc w:val="left"/>
                  </w:pPr>
                  <w:r>
                    <w:rPr>
                      <w:rFonts w:ascii="仿宋_GB2312" w:hAnsi="仿宋_GB2312" w:cs="仿宋_GB2312" w:eastAsia="仿宋_GB2312"/>
                      <w:sz w:val="20"/>
                    </w:rPr>
                    <w:t>信道容量：</w:t>
                  </w:r>
                  <w:r>
                    <w:rPr>
                      <w:rFonts w:ascii="仿宋_GB2312" w:hAnsi="仿宋_GB2312" w:cs="仿宋_GB2312" w:eastAsia="仿宋_GB2312"/>
                      <w:sz w:val="20"/>
                    </w:rPr>
                    <w:t>≥1024</w:t>
                  </w:r>
                </w:p>
                <w:p>
                  <w:pPr>
                    <w:pStyle w:val="null3"/>
                    <w:jc w:val="left"/>
                  </w:pPr>
                  <w:r>
                    <w:rPr>
                      <w:rFonts w:ascii="仿宋_GB2312" w:hAnsi="仿宋_GB2312" w:cs="仿宋_GB2312" w:eastAsia="仿宋_GB2312"/>
                      <w:sz w:val="20"/>
                    </w:rPr>
                    <w:t>数字</w:t>
                  </w:r>
                  <w:r>
                    <w:rPr>
                      <w:rFonts w:ascii="仿宋_GB2312" w:hAnsi="仿宋_GB2312" w:cs="仿宋_GB2312" w:eastAsia="仿宋_GB2312"/>
                      <w:sz w:val="20"/>
                    </w:rPr>
                    <w:t>/模拟灵敏度：≤0.14uV</w:t>
                  </w:r>
                </w:p>
                <w:p>
                  <w:pPr>
                    <w:pStyle w:val="null3"/>
                    <w:jc w:val="left"/>
                  </w:pPr>
                  <w:r>
                    <w:rPr>
                      <w:rFonts w:ascii="仿宋_GB2312" w:hAnsi="仿宋_GB2312" w:cs="仿宋_GB2312" w:eastAsia="仿宋_GB2312"/>
                      <w:sz w:val="20"/>
                    </w:rPr>
                    <w:t>最大发射功率不小于</w:t>
                  </w:r>
                  <w:r>
                    <w:rPr>
                      <w:rFonts w:ascii="仿宋_GB2312" w:hAnsi="仿宋_GB2312" w:cs="仿宋_GB2312" w:eastAsia="仿宋_GB2312"/>
                      <w:sz w:val="20"/>
                    </w:rPr>
                    <w:t>50W</w:t>
                  </w:r>
                </w:p>
                <w:p>
                  <w:pPr>
                    <w:pStyle w:val="null3"/>
                    <w:jc w:val="left"/>
                  </w:pPr>
                  <w:r>
                    <w:rPr>
                      <w:rFonts w:ascii="仿宋_GB2312" w:hAnsi="仿宋_GB2312" w:cs="仿宋_GB2312" w:eastAsia="仿宋_GB2312"/>
                      <w:sz w:val="20"/>
                    </w:rPr>
                    <w:t>工作电压：交流</w:t>
                  </w:r>
                  <w:r>
                    <w:rPr>
                      <w:rFonts w:ascii="仿宋_GB2312" w:hAnsi="仿宋_GB2312" w:cs="仿宋_GB2312" w:eastAsia="仿宋_GB2312"/>
                      <w:sz w:val="20"/>
                    </w:rPr>
                    <w:t>100-240V @50/60Hz 或 直流13.6V±</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15%</w:t>
                  </w:r>
                </w:p>
                <w:p>
                  <w:pPr>
                    <w:pStyle w:val="null3"/>
                    <w:jc w:val="left"/>
                  </w:pPr>
                  <w:r>
                    <w:rPr>
                      <w:rFonts w:ascii="仿宋_GB2312" w:hAnsi="仿宋_GB2312" w:cs="仿宋_GB2312" w:eastAsia="仿宋_GB2312"/>
                      <w:sz w:val="20"/>
                    </w:rPr>
                    <w:t>整机重量：</w:t>
                  </w:r>
                  <w:r>
                    <w:rPr>
                      <w:rFonts w:ascii="仿宋_GB2312" w:hAnsi="仿宋_GB2312" w:cs="仿宋_GB2312" w:eastAsia="仿宋_GB2312"/>
                      <w:sz w:val="20"/>
                    </w:rPr>
                    <w:t>≤8.5Kg</w:t>
                  </w:r>
                </w:p>
                <w:p>
                  <w:pPr>
                    <w:pStyle w:val="null3"/>
                    <w:jc w:val="left"/>
                  </w:pPr>
                  <w:r>
                    <w:rPr>
                      <w:rFonts w:ascii="仿宋_GB2312" w:hAnsi="仿宋_GB2312" w:cs="仿宋_GB2312" w:eastAsia="仿宋_GB2312"/>
                      <w:sz w:val="20"/>
                    </w:rPr>
                    <w:t>整机尺寸满足</w:t>
                  </w:r>
                  <w:r>
                    <w:rPr>
                      <w:rFonts w:ascii="仿宋_GB2312" w:hAnsi="仿宋_GB2312" w:cs="仿宋_GB2312" w:eastAsia="仿宋_GB2312"/>
                      <w:sz w:val="20"/>
                    </w:rPr>
                    <w:t>1U标准，小巧轻便，便于在狭小空间安装</w:t>
                  </w:r>
                </w:p>
                <w:p>
                  <w:pPr>
                    <w:pStyle w:val="null3"/>
                    <w:jc w:val="left"/>
                  </w:pPr>
                  <w:r>
                    <w:rPr>
                      <w:rFonts w:ascii="仿宋_GB2312" w:hAnsi="仿宋_GB2312" w:cs="仿宋_GB2312" w:eastAsia="仿宋_GB2312"/>
                      <w:sz w:val="20"/>
                    </w:rPr>
                    <w:t>工作温度范围：包括</w:t>
                  </w:r>
                  <w:r>
                    <w:rPr>
                      <w:rFonts w:ascii="仿宋_GB2312" w:hAnsi="仿宋_GB2312" w:cs="仿宋_GB2312" w:eastAsia="仿宋_GB2312"/>
                      <w:sz w:val="20"/>
                    </w:rPr>
                    <w:t>-30°~+60°</w:t>
                  </w:r>
                </w:p>
                <w:p>
                  <w:pPr>
                    <w:pStyle w:val="null3"/>
                    <w:jc w:val="left"/>
                  </w:pPr>
                  <w:r>
                    <w:rPr>
                      <w:rFonts w:ascii="仿宋_GB2312" w:hAnsi="仿宋_GB2312" w:cs="仿宋_GB2312" w:eastAsia="仿宋_GB2312"/>
                      <w:sz w:val="20"/>
                    </w:rPr>
                    <w:t>存储温度范围：包括</w:t>
                  </w:r>
                  <w:r>
                    <w:rPr>
                      <w:rFonts w:ascii="仿宋_GB2312" w:hAnsi="仿宋_GB2312" w:cs="仿宋_GB2312" w:eastAsia="仿宋_GB2312"/>
                      <w:sz w:val="20"/>
                    </w:rPr>
                    <w:t>-40°~+85°</w:t>
                  </w:r>
                </w:p>
                <w:p>
                  <w:pPr>
                    <w:pStyle w:val="null3"/>
                    <w:jc w:val="left"/>
                  </w:pPr>
                  <w:r>
                    <w:rPr>
                      <w:rFonts w:ascii="仿宋_GB2312" w:hAnsi="仿宋_GB2312" w:cs="仿宋_GB2312" w:eastAsia="仿宋_GB2312"/>
                      <w:sz w:val="20"/>
                    </w:rPr>
                    <w:t>数字声码器：支持</w:t>
                  </w:r>
                  <w:r>
                    <w:rPr>
                      <w:rFonts w:ascii="仿宋_GB2312" w:hAnsi="仿宋_GB2312" w:cs="仿宋_GB2312" w:eastAsia="仿宋_GB2312"/>
                      <w:sz w:val="20"/>
                    </w:rPr>
                    <w:t>AMBE++/NVOC软件可调</w:t>
                  </w:r>
                </w:p>
                <w:p>
                  <w:pPr>
                    <w:pStyle w:val="null3"/>
                    <w:jc w:val="left"/>
                  </w:pPr>
                  <w:r>
                    <w:rPr>
                      <w:rFonts w:ascii="仿宋_GB2312" w:hAnsi="仿宋_GB2312" w:cs="仿宋_GB2312" w:eastAsia="仿宋_GB2312"/>
                      <w:sz w:val="20"/>
                    </w:rPr>
                    <w:t>制式：支持</w:t>
                  </w:r>
                  <w:r>
                    <w:rPr>
                      <w:rFonts w:ascii="仿宋_GB2312" w:hAnsi="仿宋_GB2312" w:cs="仿宋_GB2312" w:eastAsia="仿宋_GB2312"/>
                      <w:sz w:val="20"/>
                    </w:rPr>
                    <w:t>PDT/DMR两种制式软件可调</w:t>
                  </w:r>
                </w:p>
                <w:p>
                  <w:pPr>
                    <w:pStyle w:val="null3"/>
                    <w:jc w:val="left"/>
                  </w:pPr>
                  <w:r>
                    <w:rPr>
                      <w:rFonts w:ascii="仿宋_GB2312" w:hAnsi="仿宋_GB2312" w:cs="仿宋_GB2312" w:eastAsia="仿宋_GB2312"/>
                      <w:sz w:val="20"/>
                    </w:rPr>
                    <w:t>支持外接手咪做为基地台进行呼叫操作</w:t>
                  </w:r>
                </w:p>
                <w:p>
                  <w:pPr>
                    <w:pStyle w:val="null3"/>
                    <w:jc w:val="left"/>
                  </w:pPr>
                  <w:r>
                    <w:rPr>
                      <w:rFonts w:ascii="仿宋_GB2312" w:hAnsi="仿宋_GB2312" w:cs="仿宋_GB2312" w:eastAsia="仿宋_GB2312"/>
                      <w:sz w:val="20"/>
                    </w:rPr>
                    <w:t>显示屏尺寸：</w:t>
                  </w:r>
                  <w:r>
                    <w:rPr>
                      <w:rFonts w:ascii="仿宋_GB2312" w:hAnsi="仿宋_GB2312" w:cs="仿宋_GB2312" w:eastAsia="仿宋_GB2312"/>
                      <w:sz w:val="20"/>
                    </w:rPr>
                    <w:t>≥2.0寸320*240高清LCD彩屏。</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背负式中转台</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频率范围：</w:t>
                  </w:r>
                  <w:r>
                    <w:rPr>
                      <w:rFonts w:ascii="仿宋_GB2312" w:hAnsi="仿宋_GB2312" w:cs="仿宋_GB2312" w:eastAsia="仿宋_GB2312"/>
                      <w:sz w:val="20"/>
                    </w:rPr>
                    <w:t>400-470MHz；</w:t>
                  </w:r>
                </w:p>
                <w:p>
                  <w:pPr>
                    <w:pStyle w:val="null3"/>
                    <w:jc w:val="left"/>
                  </w:pPr>
                  <w:r>
                    <w:rPr>
                      <w:rFonts w:ascii="仿宋_GB2312" w:hAnsi="仿宋_GB2312" w:cs="仿宋_GB2312" w:eastAsia="仿宋_GB2312"/>
                      <w:sz w:val="20"/>
                    </w:rPr>
                    <w:t>频率稳定度：</w:t>
                  </w:r>
                  <w:r>
                    <w:rPr>
                      <w:rFonts w:ascii="仿宋_GB2312" w:hAnsi="仿宋_GB2312" w:cs="仿宋_GB2312" w:eastAsia="仿宋_GB2312"/>
                      <w:sz w:val="20"/>
                    </w:rPr>
                    <w:t>≤±0.5ppm；</w:t>
                  </w:r>
                </w:p>
                <w:p>
                  <w:pPr>
                    <w:pStyle w:val="null3"/>
                    <w:jc w:val="left"/>
                  </w:pPr>
                  <w:r>
                    <w:rPr>
                      <w:rFonts w:ascii="仿宋_GB2312" w:hAnsi="仿宋_GB2312" w:cs="仿宋_GB2312" w:eastAsia="仿宋_GB2312"/>
                      <w:sz w:val="20"/>
                    </w:rPr>
                    <w:t>标配内置电池容量：不低于</w:t>
                  </w:r>
                  <w:r>
                    <w:rPr>
                      <w:rFonts w:ascii="仿宋_GB2312" w:hAnsi="仿宋_GB2312" w:cs="仿宋_GB2312" w:eastAsia="仿宋_GB2312"/>
                      <w:sz w:val="20"/>
                    </w:rPr>
                    <w:t>230Wh</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发射功率：</w:t>
                  </w:r>
                  <w:r>
                    <w:rPr>
                      <w:rFonts w:ascii="仿宋_GB2312" w:hAnsi="仿宋_GB2312" w:cs="仿宋_GB2312" w:eastAsia="仿宋_GB2312"/>
                      <w:sz w:val="20"/>
                    </w:rPr>
                    <w:t>1~25W可调</w:t>
                  </w:r>
                </w:p>
                <w:p>
                  <w:pPr>
                    <w:pStyle w:val="null3"/>
                    <w:jc w:val="left"/>
                  </w:pPr>
                  <w:r>
                    <w:rPr>
                      <w:rFonts w:ascii="仿宋_GB2312" w:hAnsi="仿宋_GB2312" w:cs="仿宋_GB2312" w:eastAsia="仿宋_GB2312"/>
                      <w:sz w:val="20"/>
                    </w:rPr>
                    <w:t>接收灵敏度：</w:t>
                  </w:r>
                  <w:r>
                    <w:rPr>
                      <w:rFonts w:ascii="仿宋_GB2312" w:hAnsi="仿宋_GB2312" w:cs="仿宋_GB2312" w:eastAsia="仿宋_GB2312"/>
                      <w:sz w:val="20"/>
                    </w:rPr>
                    <w:t>≤-122dBm</w:t>
                  </w:r>
                </w:p>
                <w:p>
                  <w:pPr>
                    <w:pStyle w:val="null3"/>
                    <w:jc w:val="left"/>
                  </w:pPr>
                  <w:r>
                    <w:rPr>
                      <w:rFonts w:ascii="仿宋_GB2312" w:hAnsi="仿宋_GB2312" w:cs="仿宋_GB2312" w:eastAsia="仿宋_GB2312"/>
                      <w:sz w:val="20"/>
                    </w:rPr>
                    <w:t>重量：</w:t>
                  </w:r>
                  <w:r>
                    <w:rPr>
                      <w:rFonts w:ascii="仿宋_GB2312" w:hAnsi="仿宋_GB2312" w:cs="仿宋_GB2312" w:eastAsia="仿宋_GB2312"/>
                      <w:sz w:val="20"/>
                    </w:rPr>
                    <w:t>≤3.9kg（含天线和电池）</w:t>
                  </w:r>
                </w:p>
                <w:p>
                  <w:pPr>
                    <w:pStyle w:val="null3"/>
                    <w:jc w:val="left"/>
                  </w:pPr>
                  <w:r>
                    <w:rPr>
                      <w:rFonts w:ascii="仿宋_GB2312" w:hAnsi="仿宋_GB2312" w:cs="仿宋_GB2312" w:eastAsia="仿宋_GB2312"/>
                      <w:sz w:val="20"/>
                    </w:rPr>
                    <w:t>尺寸：不大于</w:t>
                  </w:r>
                  <w:r>
                    <w:rPr>
                      <w:rFonts w:ascii="仿宋_GB2312" w:hAnsi="仿宋_GB2312" w:cs="仿宋_GB2312" w:eastAsia="仿宋_GB2312"/>
                      <w:sz w:val="20"/>
                    </w:rPr>
                    <w:t>320×190×70mm（W×H×D）（不含天线及配件）；</w:t>
                  </w:r>
                </w:p>
                <w:p>
                  <w:pPr>
                    <w:pStyle w:val="null3"/>
                    <w:jc w:val="left"/>
                  </w:pPr>
                  <w:r>
                    <w:rPr>
                      <w:rFonts w:ascii="仿宋_GB2312" w:hAnsi="仿宋_GB2312" w:cs="仿宋_GB2312" w:eastAsia="仿宋_GB2312"/>
                      <w:sz w:val="20"/>
                    </w:rPr>
                    <w:t>工作温度范围：</w:t>
                  </w:r>
                  <w:r>
                    <w:rPr>
                      <w:rFonts w:ascii="仿宋_GB2312" w:hAnsi="仿宋_GB2312" w:cs="仿宋_GB2312" w:eastAsia="仿宋_GB2312"/>
                      <w:sz w:val="20"/>
                    </w:rPr>
                    <w:t>-30℃～+60℃；</w:t>
                  </w:r>
                </w:p>
                <w:p>
                  <w:pPr>
                    <w:pStyle w:val="null3"/>
                    <w:jc w:val="left"/>
                  </w:pPr>
                  <w:r>
                    <w:rPr>
                      <w:rFonts w:ascii="仿宋_GB2312" w:hAnsi="仿宋_GB2312" w:cs="仿宋_GB2312" w:eastAsia="仿宋_GB2312"/>
                      <w:sz w:val="20"/>
                    </w:rPr>
                    <w:t>存储温度范围：</w:t>
                  </w:r>
                  <w:r>
                    <w:rPr>
                      <w:rFonts w:ascii="仿宋_GB2312" w:hAnsi="仿宋_GB2312" w:cs="仿宋_GB2312" w:eastAsia="仿宋_GB2312"/>
                      <w:sz w:val="20"/>
                    </w:rPr>
                    <w:t>-40℃～+85℃；</w:t>
                  </w:r>
                </w:p>
                <w:p>
                  <w:pPr>
                    <w:pStyle w:val="null3"/>
                    <w:jc w:val="left"/>
                  </w:pPr>
                  <w:r>
                    <w:rPr>
                      <w:rFonts w:ascii="仿宋_GB2312" w:hAnsi="仿宋_GB2312" w:cs="仿宋_GB2312" w:eastAsia="仿宋_GB2312"/>
                      <w:sz w:val="20"/>
                    </w:rPr>
                    <w:t>便携式设计，支持便携背负式及车载移动部署，内置双工器，只需外接一根天线即可正常工作；</w:t>
                  </w:r>
                </w:p>
                <w:p>
                  <w:pPr>
                    <w:pStyle w:val="null3"/>
                    <w:jc w:val="left"/>
                  </w:pPr>
                  <w:r>
                    <w:rPr>
                      <w:rFonts w:ascii="仿宋_GB2312" w:hAnsi="仿宋_GB2312" w:cs="仿宋_GB2312" w:eastAsia="仿宋_GB2312"/>
                      <w:sz w:val="20"/>
                    </w:rPr>
                    <w:t>设备内置以太网接口，可实现基于</w:t>
                  </w:r>
                  <w:r>
                    <w:rPr>
                      <w:rFonts w:ascii="仿宋_GB2312" w:hAnsi="仿宋_GB2312" w:cs="仿宋_GB2312" w:eastAsia="仿宋_GB2312"/>
                      <w:sz w:val="20"/>
                    </w:rPr>
                    <w:t>IP的中转台基站互联组网并接入调度平台</w:t>
                  </w:r>
                </w:p>
                <w:p>
                  <w:pPr>
                    <w:pStyle w:val="null3"/>
                    <w:jc w:val="left"/>
                  </w:pPr>
                  <w:r>
                    <w:rPr>
                      <w:rFonts w:ascii="仿宋_GB2312" w:hAnsi="仿宋_GB2312" w:cs="仿宋_GB2312" w:eastAsia="仿宋_GB2312"/>
                      <w:sz w:val="20"/>
                    </w:rPr>
                    <w:t>卫星定位方式：支持</w:t>
                  </w:r>
                  <w:r>
                    <w:rPr>
                      <w:rFonts w:ascii="仿宋_GB2312" w:hAnsi="仿宋_GB2312" w:cs="仿宋_GB2312" w:eastAsia="仿宋_GB2312"/>
                      <w:sz w:val="20"/>
                    </w:rPr>
                    <w:t>GPS</w:t>
                  </w:r>
                </w:p>
                <w:p>
                  <w:pPr>
                    <w:pStyle w:val="null3"/>
                    <w:jc w:val="left"/>
                  </w:pPr>
                  <w:r>
                    <w:rPr>
                      <w:rFonts w:ascii="仿宋_GB2312" w:hAnsi="仿宋_GB2312" w:cs="仿宋_GB2312" w:eastAsia="仿宋_GB2312"/>
                      <w:sz w:val="20"/>
                    </w:rPr>
                    <w:t>防护等级：不低于</w:t>
                  </w:r>
                  <w:r>
                    <w:rPr>
                      <w:rFonts w:ascii="仿宋_GB2312" w:hAnsi="仿宋_GB2312" w:cs="仿宋_GB2312" w:eastAsia="仿宋_GB2312"/>
                      <w:sz w:val="20"/>
                    </w:rPr>
                    <w:t>IP67</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专业数字车载台</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频率范围：</w:t>
                  </w:r>
                  <w:r>
                    <w:rPr>
                      <w:rFonts w:ascii="仿宋_GB2312" w:hAnsi="仿宋_GB2312" w:cs="仿宋_GB2312" w:eastAsia="仿宋_GB2312"/>
                      <w:sz w:val="20"/>
                    </w:rPr>
                    <w:t>350-400MHz；400-470MHz</w:t>
                  </w:r>
                </w:p>
                <w:p>
                  <w:pPr>
                    <w:pStyle w:val="null3"/>
                    <w:jc w:val="both"/>
                  </w:pPr>
                  <w:r>
                    <w:rPr>
                      <w:rFonts w:ascii="仿宋_GB2312" w:hAnsi="仿宋_GB2312" w:cs="仿宋_GB2312" w:eastAsia="仿宋_GB2312"/>
                      <w:sz w:val="20"/>
                    </w:rPr>
                    <w:t>信道容量：</w:t>
                  </w:r>
                  <w:r>
                    <w:rPr>
                      <w:rFonts w:ascii="仿宋_GB2312" w:hAnsi="仿宋_GB2312" w:cs="仿宋_GB2312" w:eastAsia="仿宋_GB2312"/>
                      <w:sz w:val="20"/>
                    </w:rPr>
                    <w:t>≥1024</w:t>
                  </w:r>
                </w:p>
                <w:p>
                  <w:pPr>
                    <w:pStyle w:val="null3"/>
                    <w:jc w:val="both"/>
                  </w:pPr>
                  <w:r>
                    <w:rPr>
                      <w:rFonts w:ascii="仿宋_GB2312" w:hAnsi="仿宋_GB2312" w:cs="仿宋_GB2312" w:eastAsia="仿宋_GB2312"/>
                      <w:sz w:val="20"/>
                    </w:rPr>
                    <w:t>区域容量：</w:t>
                  </w:r>
                  <w:r>
                    <w:rPr>
                      <w:rFonts w:ascii="仿宋_GB2312" w:hAnsi="仿宋_GB2312" w:cs="仿宋_GB2312" w:eastAsia="仿宋_GB2312"/>
                      <w:sz w:val="20"/>
                    </w:rPr>
                    <w:t>≥64</w:t>
                  </w:r>
                </w:p>
                <w:p>
                  <w:pPr>
                    <w:pStyle w:val="null3"/>
                    <w:jc w:val="both"/>
                  </w:pPr>
                  <w:r>
                    <w:rPr>
                      <w:rFonts w:ascii="仿宋_GB2312" w:hAnsi="仿宋_GB2312" w:cs="仿宋_GB2312" w:eastAsia="仿宋_GB2312"/>
                      <w:sz w:val="20"/>
                    </w:rPr>
                    <w:t>接收音频额定功率：</w:t>
                  </w:r>
                  <w:r>
                    <w:rPr>
                      <w:rFonts w:ascii="仿宋_GB2312" w:hAnsi="仿宋_GB2312" w:cs="仿宋_GB2312" w:eastAsia="仿宋_GB2312"/>
                      <w:sz w:val="20"/>
                    </w:rPr>
                    <w:t>≥3W，接收音频最大功率：≥6W</w:t>
                  </w:r>
                </w:p>
                <w:p>
                  <w:pPr>
                    <w:pStyle w:val="null3"/>
                    <w:jc w:val="both"/>
                  </w:pPr>
                  <w:r>
                    <w:rPr>
                      <w:rFonts w:ascii="仿宋_GB2312" w:hAnsi="仿宋_GB2312" w:cs="仿宋_GB2312" w:eastAsia="仿宋_GB2312"/>
                      <w:sz w:val="20"/>
                    </w:rPr>
                    <w:t>工作电压：直流</w:t>
                  </w:r>
                  <w:r>
                    <w:rPr>
                      <w:rFonts w:ascii="仿宋_GB2312" w:hAnsi="仿宋_GB2312" w:cs="仿宋_GB2312" w:eastAsia="仿宋_GB2312"/>
                      <w:sz w:val="20"/>
                    </w:rPr>
                    <w:t>13.6V± 15%</w:t>
                  </w:r>
                </w:p>
                <w:p>
                  <w:pPr>
                    <w:pStyle w:val="null3"/>
                    <w:jc w:val="both"/>
                  </w:pPr>
                  <w:r>
                    <w:rPr>
                      <w:rFonts w:ascii="仿宋_GB2312" w:hAnsi="仿宋_GB2312" w:cs="仿宋_GB2312" w:eastAsia="仿宋_GB2312"/>
                      <w:sz w:val="20"/>
                    </w:rPr>
                    <w:t>整机重量：</w:t>
                  </w:r>
                  <w:r>
                    <w:rPr>
                      <w:rFonts w:ascii="仿宋_GB2312" w:hAnsi="仿宋_GB2312" w:cs="仿宋_GB2312" w:eastAsia="仿宋_GB2312"/>
                      <w:sz w:val="20"/>
                    </w:rPr>
                    <w:t>≤1300g</w:t>
                  </w:r>
                </w:p>
                <w:p>
                  <w:pPr>
                    <w:pStyle w:val="null3"/>
                    <w:jc w:val="both"/>
                  </w:pPr>
                  <w:r>
                    <w:rPr>
                      <w:rFonts w:ascii="仿宋_GB2312" w:hAnsi="仿宋_GB2312" w:cs="仿宋_GB2312" w:eastAsia="仿宋_GB2312"/>
                      <w:sz w:val="20"/>
                    </w:rPr>
                    <w:t>外形尺寸：</w:t>
                  </w:r>
                  <w:r>
                    <w:rPr>
                      <w:rFonts w:ascii="仿宋_GB2312" w:hAnsi="仿宋_GB2312" w:cs="仿宋_GB2312" w:eastAsia="仿宋_GB2312"/>
                      <w:sz w:val="20"/>
                    </w:rPr>
                    <w:t>≤49*178*156mm</w:t>
                  </w:r>
                </w:p>
                <w:p>
                  <w:pPr>
                    <w:pStyle w:val="null3"/>
                    <w:jc w:val="both"/>
                  </w:pPr>
                  <w:r>
                    <w:rPr>
                      <w:rFonts w:ascii="仿宋_GB2312" w:hAnsi="仿宋_GB2312" w:cs="仿宋_GB2312" w:eastAsia="仿宋_GB2312"/>
                      <w:sz w:val="20"/>
                    </w:rPr>
                    <w:t>标配独立点火线功能：在汽车点火时，车载台自动开机，熄火时，自动关闭</w:t>
                  </w:r>
                </w:p>
                <w:p>
                  <w:pPr>
                    <w:pStyle w:val="null3"/>
                    <w:jc w:val="both"/>
                  </w:pPr>
                  <w:r>
                    <w:rPr>
                      <w:rFonts w:ascii="仿宋_GB2312" w:hAnsi="仿宋_GB2312" w:cs="仿宋_GB2312" w:eastAsia="仿宋_GB2312"/>
                      <w:sz w:val="20"/>
                    </w:rPr>
                    <w:t>工作温度范围：包括</w:t>
                  </w:r>
                  <w:r>
                    <w:rPr>
                      <w:rFonts w:ascii="仿宋_GB2312" w:hAnsi="仿宋_GB2312" w:cs="仿宋_GB2312" w:eastAsia="仿宋_GB2312"/>
                      <w:sz w:val="20"/>
                    </w:rPr>
                    <w:t>-30°~+60°</w:t>
                  </w:r>
                </w:p>
                <w:p>
                  <w:pPr>
                    <w:pStyle w:val="null3"/>
                    <w:jc w:val="both"/>
                  </w:pPr>
                  <w:r>
                    <w:rPr>
                      <w:rFonts w:ascii="仿宋_GB2312" w:hAnsi="仿宋_GB2312" w:cs="仿宋_GB2312" w:eastAsia="仿宋_GB2312"/>
                      <w:sz w:val="20"/>
                    </w:rPr>
                    <w:t>存储温度范围：包括</w:t>
                  </w:r>
                  <w:r>
                    <w:rPr>
                      <w:rFonts w:ascii="仿宋_GB2312" w:hAnsi="仿宋_GB2312" w:cs="仿宋_GB2312" w:eastAsia="仿宋_GB2312"/>
                      <w:sz w:val="20"/>
                    </w:rPr>
                    <w:t>-40°~+85°</w:t>
                  </w:r>
                </w:p>
                <w:p>
                  <w:pPr>
                    <w:pStyle w:val="null3"/>
                    <w:jc w:val="both"/>
                  </w:pPr>
                  <w:r>
                    <w:rPr>
                      <w:rFonts w:ascii="仿宋_GB2312" w:hAnsi="仿宋_GB2312" w:cs="仿宋_GB2312" w:eastAsia="仿宋_GB2312"/>
                      <w:sz w:val="20"/>
                    </w:rPr>
                    <w:t>冷启动定位时间检验：</w:t>
                  </w:r>
                  <w:r>
                    <w:rPr>
                      <w:rFonts w:ascii="仿宋_GB2312" w:hAnsi="仿宋_GB2312" w:cs="仿宋_GB2312" w:eastAsia="仿宋_GB2312"/>
                      <w:sz w:val="20"/>
                    </w:rPr>
                    <w:t>≤31s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静态水平定位精度检验：</w:t>
                  </w:r>
                  <w:r>
                    <w:rPr>
                      <w:rFonts w:ascii="仿宋_GB2312" w:hAnsi="仿宋_GB2312" w:cs="仿宋_GB2312" w:eastAsia="仿宋_GB2312"/>
                      <w:sz w:val="20"/>
                    </w:rPr>
                    <w:t>≤10米</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数字声码器：</w:t>
                  </w:r>
                  <w:r>
                    <w:rPr>
                      <w:rFonts w:ascii="仿宋_GB2312" w:hAnsi="仿宋_GB2312" w:cs="仿宋_GB2312" w:eastAsia="仿宋_GB2312"/>
                      <w:sz w:val="20"/>
                    </w:rPr>
                    <w:t>AMBE++/NVOC双模声码器，两种模式可在终端本地菜单中切换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工作模式：支持数模常规包含模拟常规、数字常规（</w:t>
                  </w:r>
                  <w:r>
                    <w:rPr>
                      <w:rFonts w:ascii="仿宋_GB2312" w:hAnsi="仿宋_GB2312" w:cs="仿宋_GB2312" w:eastAsia="仿宋_GB2312"/>
                      <w:sz w:val="20"/>
                    </w:rPr>
                    <w:t>DMR数字常规、PDT数字常规）、PDT数字集群、模拟集群、ECS增强型常规六种工作模式，可在不重启的条件下自由切换，切换完成后可正常工作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支持分体设计：车载台支持主机和控制面板分体设计，控制面板达到</w:t>
                  </w:r>
                  <w:r>
                    <w:rPr>
                      <w:rFonts w:ascii="仿宋_GB2312" w:hAnsi="仿宋_GB2312" w:cs="仿宋_GB2312" w:eastAsia="仿宋_GB2312"/>
                      <w:sz w:val="20"/>
                    </w:rPr>
                    <w:t>IP67防护级别</w:t>
                  </w:r>
                </w:p>
                <w:p>
                  <w:pPr>
                    <w:pStyle w:val="null3"/>
                    <w:jc w:val="both"/>
                  </w:pPr>
                  <w:r>
                    <w:rPr>
                      <w:rFonts w:ascii="仿宋_GB2312" w:hAnsi="仿宋_GB2312" w:cs="仿宋_GB2312" w:eastAsia="仿宋_GB2312"/>
                      <w:sz w:val="20"/>
                    </w:rPr>
                    <w:t>卫星定位方式：支持</w:t>
                  </w:r>
                  <w:r>
                    <w:rPr>
                      <w:rFonts w:ascii="仿宋_GB2312" w:hAnsi="仿宋_GB2312" w:cs="仿宋_GB2312" w:eastAsia="仿宋_GB2312"/>
                      <w:sz w:val="20"/>
                    </w:rPr>
                    <w:t>GPS</w:t>
                  </w:r>
                </w:p>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专业数字基地台</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频率范围：</w:t>
                  </w:r>
                  <w:r>
                    <w:rPr>
                      <w:rFonts w:ascii="仿宋_GB2312" w:hAnsi="仿宋_GB2312" w:cs="仿宋_GB2312" w:eastAsia="仿宋_GB2312"/>
                      <w:sz w:val="20"/>
                    </w:rPr>
                    <w:t>350-400MHz；400-470MHz</w:t>
                  </w:r>
                </w:p>
                <w:p>
                  <w:pPr>
                    <w:pStyle w:val="null3"/>
                    <w:jc w:val="both"/>
                  </w:pPr>
                  <w:r>
                    <w:rPr>
                      <w:rFonts w:ascii="仿宋_GB2312" w:hAnsi="仿宋_GB2312" w:cs="仿宋_GB2312" w:eastAsia="仿宋_GB2312"/>
                      <w:sz w:val="20"/>
                    </w:rPr>
                    <w:t>信道容量：</w:t>
                  </w:r>
                  <w:r>
                    <w:rPr>
                      <w:rFonts w:ascii="仿宋_GB2312" w:hAnsi="仿宋_GB2312" w:cs="仿宋_GB2312" w:eastAsia="仿宋_GB2312"/>
                      <w:sz w:val="20"/>
                    </w:rPr>
                    <w:t>≥1024</w:t>
                  </w:r>
                </w:p>
                <w:p>
                  <w:pPr>
                    <w:pStyle w:val="null3"/>
                    <w:jc w:val="both"/>
                  </w:pPr>
                  <w:r>
                    <w:rPr>
                      <w:rFonts w:ascii="仿宋_GB2312" w:hAnsi="仿宋_GB2312" w:cs="仿宋_GB2312" w:eastAsia="仿宋_GB2312"/>
                      <w:sz w:val="20"/>
                    </w:rPr>
                    <w:t>区域容量：</w:t>
                  </w:r>
                  <w:r>
                    <w:rPr>
                      <w:rFonts w:ascii="仿宋_GB2312" w:hAnsi="仿宋_GB2312" w:cs="仿宋_GB2312" w:eastAsia="仿宋_GB2312"/>
                      <w:sz w:val="20"/>
                    </w:rPr>
                    <w:t>≥64</w:t>
                  </w:r>
                </w:p>
                <w:p>
                  <w:pPr>
                    <w:pStyle w:val="null3"/>
                    <w:jc w:val="both"/>
                  </w:pPr>
                  <w:r>
                    <w:rPr>
                      <w:rFonts w:ascii="仿宋_GB2312" w:hAnsi="仿宋_GB2312" w:cs="仿宋_GB2312" w:eastAsia="仿宋_GB2312"/>
                      <w:sz w:val="20"/>
                    </w:rPr>
                    <w:t>接收音频额定功率：</w:t>
                  </w:r>
                  <w:r>
                    <w:rPr>
                      <w:rFonts w:ascii="仿宋_GB2312" w:hAnsi="仿宋_GB2312" w:cs="仿宋_GB2312" w:eastAsia="仿宋_GB2312"/>
                      <w:sz w:val="20"/>
                    </w:rPr>
                    <w:t>≥3W，接收音频最大功率：≥6W</w:t>
                  </w:r>
                </w:p>
                <w:p>
                  <w:pPr>
                    <w:pStyle w:val="null3"/>
                    <w:jc w:val="both"/>
                  </w:pPr>
                  <w:r>
                    <w:rPr>
                      <w:rFonts w:ascii="仿宋_GB2312" w:hAnsi="仿宋_GB2312" w:cs="仿宋_GB2312" w:eastAsia="仿宋_GB2312"/>
                      <w:sz w:val="20"/>
                    </w:rPr>
                    <w:t>工作电压：直流</w:t>
                  </w:r>
                  <w:r>
                    <w:rPr>
                      <w:rFonts w:ascii="仿宋_GB2312" w:hAnsi="仿宋_GB2312" w:cs="仿宋_GB2312" w:eastAsia="仿宋_GB2312"/>
                      <w:sz w:val="20"/>
                    </w:rPr>
                    <w:t>13.6V± 15%</w:t>
                  </w:r>
                </w:p>
                <w:p>
                  <w:pPr>
                    <w:pStyle w:val="null3"/>
                    <w:jc w:val="both"/>
                  </w:pPr>
                  <w:r>
                    <w:rPr>
                      <w:rFonts w:ascii="仿宋_GB2312" w:hAnsi="仿宋_GB2312" w:cs="仿宋_GB2312" w:eastAsia="仿宋_GB2312"/>
                      <w:sz w:val="20"/>
                    </w:rPr>
                    <w:t>整机重量：</w:t>
                  </w:r>
                  <w:r>
                    <w:rPr>
                      <w:rFonts w:ascii="仿宋_GB2312" w:hAnsi="仿宋_GB2312" w:cs="仿宋_GB2312" w:eastAsia="仿宋_GB2312"/>
                      <w:sz w:val="20"/>
                    </w:rPr>
                    <w:t>≤1300g</w:t>
                  </w:r>
                </w:p>
                <w:p>
                  <w:pPr>
                    <w:pStyle w:val="null3"/>
                    <w:jc w:val="both"/>
                  </w:pPr>
                  <w:r>
                    <w:rPr>
                      <w:rFonts w:ascii="仿宋_GB2312" w:hAnsi="仿宋_GB2312" w:cs="仿宋_GB2312" w:eastAsia="仿宋_GB2312"/>
                      <w:sz w:val="20"/>
                    </w:rPr>
                    <w:t>外形尺寸：</w:t>
                  </w:r>
                  <w:r>
                    <w:rPr>
                      <w:rFonts w:ascii="仿宋_GB2312" w:hAnsi="仿宋_GB2312" w:cs="仿宋_GB2312" w:eastAsia="仿宋_GB2312"/>
                      <w:sz w:val="20"/>
                    </w:rPr>
                    <w:t>≤49*178*156mm</w:t>
                  </w:r>
                </w:p>
                <w:p>
                  <w:pPr>
                    <w:pStyle w:val="null3"/>
                    <w:jc w:val="both"/>
                  </w:pPr>
                  <w:r>
                    <w:rPr>
                      <w:rFonts w:ascii="仿宋_GB2312" w:hAnsi="仿宋_GB2312" w:cs="仿宋_GB2312" w:eastAsia="仿宋_GB2312"/>
                      <w:sz w:val="20"/>
                    </w:rPr>
                    <w:t>标配独立点火线功能：在汽车点火时，车载台自动开机，熄火时，自动关闭</w:t>
                  </w:r>
                </w:p>
                <w:p>
                  <w:pPr>
                    <w:pStyle w:val="null3"/>
                    <w:jc w:val="both"/>
                  </w:pPr>
                  <w:r>
                    <w:rPr>
                      <w:rFonts w:ascii="仿宋_GB2312" w:hAnsi="仿宋_GB2312" w:cs="仿宋_GB2312" w:eastAsia="仿宋_GB2312"/>
                      <w:sz w:val="20"/>
                    </w:rPr>
                    <w:t>工作温度范围：包括</w:t>
                  </w:r>
                  <w:r>
                    <w:rPr>
                      <w:rFonts w:ascii="仿宋_GB2312" w:hAnsi="仿宋_GB2312" w:cs="仿宋_GB2312" w:eastAsia="仿宋_GB2312"/>
                      <w:sz w:val="20"/>
                    </w:rPr>
                    <w:t>-30°~+60°</w:t>
                  </w:r>
                </w:p>
                <w:p>
                  <w:pPr>
                    <w:pStyle w:val="null3"/>
                    <w:jc w:val="both"/>
                  </w:pPr>
                  <w:r>
                    <w:rPr>
                      <w:rFonts w:ascii="仿宋_GB2312" w:hAnsi="仿宋_GB2312" w:cs="仿宋_GB2312" w:eastAsia="仿宋_GB2312"/>
                      <w:sz w:val="20"/>
                    </w:rPr>
                    <w:t>存储温度范围：包括</w:t>
                  </w:r>
                  <w:r>
                    <w:rPr>
                      <w:rFonts w:ascii="仿宋_GB2312" w:hAnsi="仿宋_GB2312" w:cs="仿宋_GB2312" w:eastAsia="仿宋_GB2312"/>
                      <w:sz w:val="20"/>
                    </w:rPr>
                    <w:t>-40°~+85°</w:t>
                  </w:r>
                </w:p>
                <w:p>
                  <w:pPr>
                    <w:pStyle w:val="null3"/>
                    <w:jc w:val="both"/>
                  </w:pPr>
                  <w:r>
                    <w:rPr>
                      <w:rFonts w:ascii="仿宋_GB2312" w:hAnsi="仿宋_GB2312" w:cs="仿宋_GB2312" w:eastAsia="仿宋_GB2312"/>
                      <w:sz w:val="20"/>
                    </w:rPr>
                    <w:t>冷启动定位时间检验：</w:t>
                  </w:r>
                  <w:r>
                    <w:rPr>
                      <w:rFonts w:ascii="仿宋_GB2312" w:hAnsi="仿宋_GB2312" w:cs="仿宋_GB2312" w:eastAsia="仿宋_GB2312"/>
                      <w:sz w:val="20"/>
                    </w:rPr>
                    <w:t>≤31s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静态水平定位精度检验：</w:t>
                  </w:r>
                  <w:r>
                    <w:rPr>
                      <w:rFonts w:ascii="仿宋_GB2312" w:hAnsi="仿宋_GB2312" w:cs="仿宋_GB2312" w:eastAsia="仿宋_GB2312"/>
                      <w:sz w:val="20"/>
                    </w:rPr>
                    <w:t>≤10米</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数字声码器：</w:t>
                  </w:r>
                  <w:r>
                    <w:rPr>
                      <w:rFonts w:ascii="仿宋_GB2312" w:hAnsi="仿宋_GB2312" w:cs="仿宋_GB2312" w:eastAsia="仿宋_GB2312"/>
                      <w:sz w:val="20"/>
                    </w:rPr>
                    <w:t>AMBE++/NVOC双模声码器，两种模式可在终端本地菜单中切换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工作模式：支持数模常规包含模拟常规、数字常规（</w:t>
                  </w:r>
                  <w:r>
                    <w:rPr>
                      <w:rFonts w:ascii="仿宋_GB2312" w:hAnsi="仿宋_GB2312" w:cs="仿宋_GB2312" w:eastAsia="仿宋_GB2312"/>
                      <w:sz w:val="20"/>
                    </w:rPr>
                    <w:t>DMR数字常规、PDT数字常规）、PDT数字集群、模拟集群、ECS增强型常规六种工作模式，可在不重启的条件下自由切换，切换完成后可正常工作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支持分体设计：车载台支持主机和控制面板分体设计，控制面板达到</w:t>
                  </w:r>
                  <w:r>
                    <w:rPr>
                      <w:rFonts w:ascii="仿宋_GB2312" w:hAnsi="仿宋_GB2312" w:cs="仿宋_GB2312" w:eastAsia="仿宋_GB2312"/>
                      <w:sz w:val="20"/>
                    </w:rPr>
                    <w:t>IP67防护级别</w:t>
                  </w:r>
                </w:p>
                <w:p>
                  <w:pPr>
                    <w:pStyle w:val="null3"/>
                    <w:jc w:val="both"/>
                  </w:pPr>
                  <w:r>
                    <w:rPr>
                      <w:rFonts w:ascii="仿宋_GB2312" w:hAnsi="仿宋_GB2312" w:cs="仿宋_GB2312" w:eastAsia="仿宋_GB2312"/>
                      <w:sz w:val="20"/>
                    </w:rPr>
                    <w:t>卫星定位方式：支持</w:t>
                  </w:r>
                  <w:r>
                    <w:rPr>
                      <w:rFonts w:ascii="仿宋_GB2312" w:hAnsi="仿宋_GB2312" w:cs="仿宋_GB2312" w:eastAsia="仿宋_GB2312"/>
                      <w:sz w:val="20"/>
                    </w:rPr>
                    <w:t>GPS</w:t>
                  </w:r>
                  <w:r>
                    <w:rPr>
                      <w:rFonts w:ascii="仿宋_GB2312" w:hAnsi="仿宋_GB2312" w:cs="仿宋_GB2312" w:eastAsia="仿宋_GB2312"/>
                      <w:sz w:val="20"/>
                    </w:rPr>
                    <w:t>。</w:t>
                  </w:r>
                </w:p>
                <w:p>
                  <w:pPr>
                    <w:pStyle w:val="null3"/>
                    <w:jc w:val="left"/>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2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说明</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以上所有技术参数为实质性响应条款，不能出现负偏离，若有一条负偏离，则按废标处理。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15个日历日内交货验收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西安市长安区秦岭生态环境保护和综合执法局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货物全部运到采购人指定地方并安装完成，经验收合格后，卖方持《验收合格单》原件和等额发票 ，支付全部合同货款。合同总价一次包死，不受市场价变化的影响</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达到国家或行业质量验收合格标准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1.质保期为终验合格后不少于24个月。成交人承诺的质保时间超过文件要求的，按其承诺时间质保。 2.成交人承诺的质保期起始时间为终验合格之日。 3.所有产品质量必须符合国家有关规范和相关政策。所有设备及辅材必须是未使用过的新产品，质量优良、渠道正当，配置合理。 4.质保期出现的质量问题由成交人负责解决并承担所有费用。质保期后如需更换零部件，成交人应以优惠价提供。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中华人民共和国政府采购法实施条例》及其他相关法律文件和本合同约定，成交供应商未全面履行合同义务者发生违约，采购单位会同采购代 理机构有权终止合同，依法向成交供应商进行经济索赔，并报请政府采购监督管理机关进行相应的行政处罚。采购单位违约的，应当赔偿给成交供应商造成的经济损失。 2、因货物质量问题发生争议的，应邀请国家认可的质量检测机构对货物质量进行鉴定。货物符合标准的，鉴定费由甲方承担；货物不符合标准的，鉴定费由乙方承担。</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成交人在领取成交通知书时提供三份纸质响应文件 ，纸质版投标文件可以使用电子化交易系统上传的签章版打印。装订：纸质响应文件采用书籍（胶装）方式装订成册。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独立承担民事责任能力，提供供应商合法注册的法人或其他组织的营业执照/事业单位法人证书/非企业专业服务机构执业许可证/民办非企业单位登记证书，自然人参与的提供其身份证明。（2）财务状况报告：提供具有财务审计资质单位出具的2023年度或2024年度财务报告（成立时间至谈判时间不足一年的可提供成立后任意时段的资产负债表）或谈判前六个月内其基本账户银行出具的资信证明或政府采购信用担保机构出具的谈判担保函。（3）税收缴纳证明：提供截止至谈判时间前六个月内任意一个月的缴纳凭据；（增值税、企业所得税至少提供一种，依法免税的投标人应提供相关文件证明）。（4）社会保障资金缴纳证明：提供截止至谈判时间前六个月内任意一个月的社保缴费凭据或社保机构开具的社会保险参保缴费情况证明，依法不需要缴纳社会保障资金的供应商应提供相关证明。（5）提供具有履行本合同所必需的设备和专业技术能力的说明及承诺；（提供书面说明及承诺，加盖供应商公章）（6）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具有财务审计资质单位出具的2023年度或2024年度财务报告（成立时间至谈判时间不足一年的可提供成立后任意时段的资产负债表）或谈判前六个月内其基本账户银行出具的资信证明或政府采购信用担保机构出具的谈判担保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投标人按照采购文件要求上传投标文件</w:t>
            </w:r>
          </w:p>
        </w:tc>
        <w:tc>
          <w:tcPr>
            <w:tcW w:type="dxa" w:w="1661"/>
          </w:tcPr>
          <w:p>
            <w:pPr>
              <w:pStyle w:val="null3"/>
            </w:pPr>
            <w:r>
              <w:rPr>
                <w:rFonts w:ascii="仿宋_GB2312" w:hAnsi="仿宋_GB2312" w:cs="仿宋_GB2312" w:eastAsia="仿宋_GB2312"/>
              </w:rPr>
              <w:t>分项报价表.docx 实施方案.docx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投标人按照采购文件要求上传投标文件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响应报价是否超过预算或文件中标明的最高限价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交货期、质保期是否满足单一来源文件要求</w:t>
            </w:r>
          </w:p>
        </w:tc>
        <w:tc>
          <w:tcPr>
            <w:tcW w:type="dxa" w:w="1661"/>
          </w:tcPr>
          <w:p>
            <w:pPr>
              <w:pStyle w:val="null3"/>
            </w:pPr>
            <w:r>
              <w:rPr>
                <w:rFonts w:ascii="仿宋_GB2312" w:hAnsi="仿宋_GB2312" w:cs="仿宋_GB2312" w:eastAsia="仿宋_GB2312"/>
              </w:rPr>
              <w:t>技术、商务及其他条款偏离表.docx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响应文件签字、盖章是否满足单一来源文件要求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响应有效期是否满足单一来源文件要求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未与采购文件商务要求条款不一致或未增加了采购人难以接受的条款</w:t>
            </w:r>
          </w:p>
        </w:tc>
        <w:tc>
          <w:tcPr>
            <w:tcW w:type="dxa" w:w="1661"/>
          </w:tcPr>
          <w:p>
            <w:pPr>
              <w:pStyle w:val="null3"/>
            </w:pPr>
            <w:r>
              <w:rPr>
                <w:rFonts w:ascii="仿宋_GB2312" w:hAnsi="仿宋_GB2312" w:cs="仿宋_GB2312" w:eastAsia="仿宋_GB2312"/>
              </w:rPr>
              <w:t>技术、商务及其他条款偏离表.docx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详见附件：技术、商务及其他条款偏离表.docx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