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版本号：JZDXA-ZB-20251920251017001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西安市长安区2025年市政道路挖掘修复工程监理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JZDXA-ZB-202519</w:t>
      </w:r>
      <w:r>
        <w:br/>
      </w:r>
      <w:r>
        <w:br/>
      </w:r>
      <w:r>
        <w:br/>
      </w:r>
    </w:p>
    <w:p>
      <w:pPr>
        <w:pStyle w:val="null3"/>
        <w:jc w:val="center"/>
        <w:outlineLvl w:val="2"/>
      </w:pPr>
      <w:r>
        <w:rPr>
          <w:rFonts w:ascii="仿宋_GB2312" w:hAnsi="仿宋_GB2312" w:cs="仿宋_GB2312" w:eastAsia="仿宋_GB2312"/>
          <w:sz w:val="28"/>
          <w:b/>
        </w:rPr>
        <w:t>西安市长安区住房和城乡建设局</w:t>
      </w:r>
    </w:p>
    <w:p>
      <w:pPr>
        <w:pStyle w:val="null3"/>
        <w:jc w:val="center"/>
        <w:outlineLvl w:val="2"/>
      </w:pPr>
      <w:r>
        <w:rPr>
          <w:rFonts w:ascii="仿宋_GB2312" w:hAnsi="仿宋_GB2312" w:cs="仿宋_GB2312" w:eastAsia="仿宋_GB2312"/>
          <w:sz w:val="28"/>
          <w:b/>
        </w:rPr>
        <w:t>北京建智达工程管理股份有限公司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北京建智达工程管理股份有限公司</w:t>
      </w:r>
      <w:r>
        <w:rPr>
          <w:rFonts w:ascii="仿宋_GB2312" w:hAnsi="仿宋_GB2312" w:cs="仿宋_GB2312" w:eastAsia="仿宋_GB2312"/>
        </w:rPr>
        <w:t>（以下简称“代理机构”）受</w:t>
      </w:r>
      <w:r>
        <w:rPr>
          <w:rFonts w:ascii="仿宋_GB2312" w:hAnsi="仿宋_GB2312" w:cs="仿宋_GB2312" w:eastAsia="仿宋_GB2312"/>
        </w:rPr>
        <w:t>西安市长安区住房和城乡建设局</w:t>
      </w:r>
      <w:r>
        <w:rPr>
          <w:rFonts w:ascii="仿宋_GB2312" w:hAnsi="仿宋_GB2312" w:cs="仿宋_GB2312" w:eastAsia="仿宋_GB2312"/>
        </w:rPr>
        <w:t>委托，拟对</w:t>
      </w:r>
      <w:r>
        <w:rPr>
          <w:rFonts w:ascii="仿宋_GB2312" w:hAnsi="仿宋_GB2312" w:cs="仿宋_GB2312" w:eastAsia="仿宋_GB2312"/>
        </w:rPr>
        <w:t>西安市长安区2025年市政道路挖掘修复工程监理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JZDXA-ZB-202519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西安市长安区2025年市政道路挖掘修复工程监理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长安区2025年市政道路挖掘修复工程监理是对西安市长安区2025年市政道路挖掘修复工程进行监理。西安市长安区2025年市政道路挖掘修复工程是对西安市长安区内车行道、人行道、隔离带范围内挖掘后的修复工程。包括:自来水、电力、天然气、热力管网、通信、地铁建设道路恢复、单位小区出入口的开口施工、雨、污水管网等维修后的基坑回填;车行道、人行道及隔离带的恢复，更换井箅、井盖、井圈盖;升井、疏通管道，清淤;管道铺设;阻车石、平石、道沿等附属设施的恢复;护栏的维修及更换等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采购包1（西安市长安区2025年市政道路挖掘修复工程监理）：属于专门面向中小企业采购。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1、具有独立承担民事责任的能力：供应商具有独立承担民事责任的能力：提供合格有效的法人或者其他组织的营业执照、事业单位法人证等证明文件或自然人的身份证明；</w:t>
      </w:r>
    </w:p>
    <w:p>
      <w:pPr>
        <w:pStyle w:val="null3"/>
      </w:pPr>
      <w:r>
        <w:rPr>
          <w:rFonts w:ascii="仿宋_GB2312" w:hAnsi="仿宋_GB2312" w:cs="仿宋_GB2312" w:eastAsia="仿宋_GB2312"/>
        </w:rPr>
        <w:t>2、财务状况报告：供应商具有良好的商业信誉和健全的财务会计制度：提供2024年度经审计的财务会计报告（至少包括审计报告、资产负债表和利润表，成立时间至响应文件递交截止时间不足一年的可提供成立后任意时段的资产负债表）或提供响应文件递交截止时间前三个月内其基本账户开户银行出具的资信证明（附基本存款账户信息），以上形式的证明资料提供任何一种即可；</w:t>
      </w:r>
    </w:p>
    <w:p>
      <w:pPr>
        <w:pStyle w:val="null3"/>
      </w:pPr>
      <w:r>
        <w:rPr>
          <w:rFonts w:ascii="仿宋_GB2312" w:hAnsi="仿宋_GB2312" w:cs="仿宋_GB2312" w:eastAsia="仿宋_GB2312"/>
        </w:rPr>
        <w:t>3、税收缴纳证明：有依法缴纳税收的良好记录：提供响应文件递交截止时间前一年内至少一个月的纳税证明或完税证明（增值税、营业税、企业所得税至少提供一种），纳税证明或完税证明上应有代收机构或税务机关的公章或业务专用章。依法免税的单位应提供相关证明材料；</w:t>
      </w:r>
    </w:p>
    <w:p>
      <w:pPr>
        <w:pStyle w:val="null3"/>
      </w:pPr>
      <w:r>
        <w:rPr>
          <w:rFonts w:ascii="仿宋_GB2312" w:hAnsi="仿宋_GB2312" w:cs="仿宋_GB2312" w:eastAsia="仿宋_GB2312"/>
        </w:rPr>
        <w:t>4、社保资金缴纳证明：有依法缴纳社会保障资金的良好记录：提供响应文件递交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pPr>
        <w:pStyle w:val="null3"/>
      </w:pPr>
      <w:r>
        <w:rPr>
          <w:rFonts w:ascii="仿宋_GB2312" w:hAnsi="仿宋_GB2312" w:cs="仿宋_GB2312" w:eastAsia="仿宋_GB2312"/>
        </w:rPr>
        <w:t>5、无重大违法记录声明：提供参加政府采购活动前三年内在经营活动中没有重大违法记录的书面声明；</w:t>
      </w:r>
    </w:p>
    <w:p>
      <w:pPr>
        <w:pStyle w:val="null3"/>
      </w:pPr>
      <w:r>
        <w:rPr>
          <w:rFonts w:ascii="仿宋_GB2312" w:hAnsi="仿宋_GB2312" w:cs="仿宋_GB2312" w:eastAsia="仿宋_GB2312"/>
        </w:rPr>
        <w:t>6、具有履行合同所必需的设备和专业技术能力：提供具有履行本合同所必需的设备和专业技术能力的承诺；</w:t>
      </w:r>
    </w:p>
    <w:p>
      <w:pPr>
        <w:pStyle w:val="null3"/>
      </w:pPr>
      <w:r>
        <w:rPr>
          <w:rFonts w:ascii="仿宋_GB2312" w:hAnsi="仿宋_GB2312" w:cs="仿宋_GB2312" w:eastAsia="仿宋_GB2312"/>
        </w:rPr>
        <w:t>7、供应商应授权合法的人员参加磋商全过程：法定代表人直接参加磋商的，须出具法定代表人身份证明及身份证，法定代表人委托代理人参加磋商的，须出具法定代表人授权委托书及身份证；</w:t>
      </w:r>
    </w:p>
    <w:p>
      <w:pPr>
        <w:pStyle w:val="null3"/>
      </w:pPr>
      <w:r>
        <w:rPr>
          <w:rFonts w:ascii="仿宋_GB2312" w:hAnsi="仿宋_GB2312" w:cs="仿宋_GB2312" w:eastAsia="仿宋_GB2312"/>
        </w:rPr>
        <w:t>8、供应商资质：供应商须具备具备建设行政主管部门颁发的工程监理综合资质或市政公用工程监理丙级及以上资质</w:t>
      </w:r>
    </w:p>
    <w:p>
      <w:pPr>
        <w:pStyle w:val="null3"/>
      </w:pPr>
      <w:r>
        <w:rPr>
          <w:rFonts w:ascii="仿宋_GB2312" w:hAnsi="仿宋_GB2312" w:cs="仿宋_GB2312" w:eastAsia="仿宋_GB2312"/>
        </w:rPr>
        <w:t>9、项目总监：拟派项目总监理工程师须具备市政公用工程专业国家注册监理工程师资格，在本单位注册，且无在监工程</w:t>
      </w:r>
    </w:p>
    <w:p>
      <w:pPr>
        <w:pStyle w:val="null3"/>
      </w:pPr>
      <w:r>
        <w:rPr>
          <w:rFonts w:ascii="仿宋_GB2312" w:hAnsi="仿宋_GB2312" w:cs="仿宋_GB2312" w:eastAsia="仿宋_GB2312"/>
        </w:rPr>
        <w:t>10、供应商信用信息：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日网上查询结果为评审依据）；</w:t>
      </w:r>
    </w:p>
    <w:p>
      <w:pPr>
        <w:pStyle w:val="null3"/>
      </w:pPr>
      <w:r>
        <w:rPr>
          <w:rFonts w:ascii="仿宋_GB2312" w:hAnsi="仿宋_GB2312" w:cs="仿宋_GB2312" w:eastAsia="仿宋_GB2312"/>
        </w:rPr>
        <w:t>11、非联合体磋商：本项目不接受联合体磋商。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西安市长安区西部大道 999 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王康宁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029-85294144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北京建智达工程管理股份有限公司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西安市莲湖区北关正街9号鸿海大厦10楼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党丽敏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029-86230899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西安市长安区政府采购中心</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代理服务费收费标准：以中标价为基数，根据“《招标代理服务收费管理暂行办法》（[2002]1980 号”、“《国家发展改革委关于降低部分建设项目收费标准规范收费行为等有关问题的通知》（发改价格[2011]534 号）及《国家发展改革委关于进一步放开建设项目专业服务价格的通知》（发改价格[2015]299号）”规定标准的 70 %收取服务费。 招标代理服务费缴纳账户：开户名称：北京建智达工程管理股份有限公司西安分公司 开户银行：招商银行股份有限公司西安奥体大道支行 账 号：129911776510901 联 系 人：党丽敏 联系电话：029-86230899 备注：供应商在汇款（招标代理服务费）时须注明项目编号+项目简称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西安市长安区住房和城乡建设局</w:t>
      </w:r>
      <w:r>
        <w:rPr>
          <w:rFonts w:ascii="仿宋_GB2312" w:hAnsi="仿宋_GB2312" w:cs="仿宋_GB2312" w:eastAsia="仿宋_GB2312"/>
        </w:rPr>
        <w:t>和</w:t>
      </w:r>
      <w:r>
        <w:rPr>
          <w:rFonts w:ascii="仿宋_GB2312" w:hAnsi="仿宋_GB2312" w:cs="仿宋_GB2312" w:eastAsia="仿宋_GB2312"/>
        </w:rPr>
        <w:t>北京建智达工程管理股份有限公司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北京建智达工程管理股份有限公司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北京建智达工程管理股份有限公司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具体根据磋商文件要求及合同约定执行。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北京建智达工程管理股份有限公司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北京建智达工程管理股份有限公司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北京建智达工程管理股份有限公司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联系人：党丽敏</w:t>
      </w:r>
    </w:p>
    <w:p>
      <w:pPr>
        <w:pStyle w:val="null3"/>
      </w:pPr>
      <w:r>
        <w:rPr>
          <w:rFonts w:ascii="仿宋_GB2312" w:hAnsi="仿宋_GB2312" w:cs="仿宋_GB2312" w:eastAsia="仿宋_GB2312"/>
        </w:rPr>
        <w:t>联系电话：029-86230899</w:t>
      </w:r>
    </w:p>
    <w:p>
      <w:pPr>
        <w:pStyle w:val="null3"/>
      </w:pPr>
      <w:r>
        <w:rPr>
          <w:rFonts w:ascii="仿宋_GB2312" w:hAnsi="仿宋_GB2312" w:cs="仿宋_GB2312" w:eastAsia="仿宋_GB2312"/>
        </w:rPr>
        <w:t>地址：西安市莲湖区北关正街9号鸿海大厦10楼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长安区2025年市政道路挖掘修复工程监理是对西安市长安区2025年市政道路挖掘修复工程进行监理。西安市长安区2025年市政道路挖掘修复工程是对西安市长安区内车行道、人行道、隔离带范围内挖掘后的修复工程。包括:自来水、电力、天然气、热力管网、通信、地铁建设道路恢复、单位小区出入口的开口施工、雨、污水管网等维修后的基坑回填;车行道、人行道及隔离带的恢复，更换井箅、井盖、井圈盖;升井、疏通管道，清淤;管道铺设;阻车石、平石、道沿等附属设施的恢复;护栏的维修及更换等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w:t>
      </w:r>
    </w:p>
    <w:p>
      <w:pPr>
        <w:pStyle w:val="null3"/>
      </w:pPr>
      <w:r>
        <w:rPr>
          <w:rFonts w:ascii="仿宋_GB2312" w:hAnsi="仿宋_GB2312" w:cs="仿宋_GB2312" w:eastAsia="仿宋_GB2312"/>
        </w:rPr>
        <w:t>采购包最高限价（元）: 130,000.00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西安市长安区2025年市政道路挖掘修复工程监理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标的名称：西安市长安区2025年市政道路挖掘修复工程监理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right="45"/>
              <w:jc w:val="both"/>
            </w:pPr>
            <w:r>
              <w:rPr>
                <w:rFonts w:ascii="仿宋_GB2312" w:hAnsi="仿宋_GB2312" w:cs="仿宋_GB2312" w:eastAsia="仿宋_GB2312"/>
                <w:sz w:val="20"/>
              </w:rPr>
              <w:t xml:space="preserve">   1、项目概况</w:t>
            </w:r>
          </w:p>
          <w:p>
            <w:pPr>
              <w:pStyle w:val="null3"/>
              <w:ind w:left="450" w:right="45"/>
              <w:jc w:val="both"/>
            </w:pPr>
            <w:r>
              <w:rPr>
                <w:rFonts w:ascii="仿宋_GB2312" w:hAnsi="仿宋_GB2312" w:cs="仿宋_GB2312" w:eastAsia="仿宋_GB2312"/>
              </w:rPr>
              <w:t>西安市长安区</w:t>
            </w:r>
            <w:r>
              <w:rPr>
                <w:rFonts w:ascii="仿宋_GB2312" w:hAnsi="仿宋_GB2312" w:cs="仿宋_GB2312" w:eastAsia="仿宋_GB2312"/>
              </w:rPr>
              <w:t>2025年市政道路挖掘修复工程监理是对西安市长安区2025年市政道路挖掘修复工程进行监理。西安市长安区2025年市政道路挖掘修复工程是对</w:t>
            </w:r>
            <w:r>
              <w:rPr>
                <w:rFonts w:ascii="仿宋_GB2312" w:hAnsi="仿宋_GB2312" w:cs="仿宋_GB2312" w:eastAsia="仿宋_GB2312"/>
              </w:rPr>
              <w:t>西安市长安区内车行道、人行道、隔离带范围内挖掘后的修复工程。包括</w:t>
            </w:r>
            <w:r>
              <w:rPr>
                <w:rFonts w:ascii="仿宋_GB2312" w:hAnsi="仿宋_GB2312" w:cs="仿宋_GB2312" w:eastAsia="仿宋_GB2312"/>
              </w:rPr>
              <w:t>:自来水、电力、天然气、热力管网、通信、地铁建设道路恢复、单位小区出入口的开口施工、雨、污水管网等维修后的基坑回填;车行道、人行道及隔离带的恢复，更换井箅、井盖、井圈盖;升井、疏通管道，清淤;管道铺设;阻车石、平石、道沿等附属设施的恢复;护栏的维修及更换等内容</w:t>
            </w:r>
            <w:r>
              <w:rPr>
                <w:rFonts w:ascii="仿宋_GB2312" w:hAnsi="仿宋_GB2312" w:cs="仿宋_GB2312" w:eastAsia="仿宋_GB2312"/>
              </w:rPr>
              <w:t>。具体实施以采购人出具的委托单为准。</w:t>
            </w:r>
          </w:p>
          <w:p>
            <w:pPr>
              <w:pStyle w:val="null3"/>
              <w:ind w:left="45" w:right="45" w:firstLine="400"/>
              <w:jc w:val="both"/>
            </w:pPr>
            <w:r>
              <w:rPr>
                <w:rFonts w:ascii="仿宋_GB2312" w:hAnsi="仿宋_GB2312" w:cs="仿宋_GB2312" w:eastAsia="仿宋_GB2312"/>
                <w:sz w:val="20"/>
              </w:rPr>
              <w:t>2、</w:t>
            </w:r>
            <w:r>
              <w:rPr>
                <w:rFonts w:ascii="仿宋_GB2312" w:hAnsi="仿宋_GB2312" w:cs="仿宋_GB2312" w:eastAsia="仿宋_GB2312"/>
                <w:sz w:val="20"/>
              </w:rPr>
              <w:t>服务内容</w:t>
            </w:r>
          </w:p>
          <w:p>
            <w:pPr>
              <w:pStyle w:val="null3"/>
              <w:ind w:left="45" w:right="45" w:firstLine="400"/>
              <w:jc w:val="both"/>
            </w:pPr>
            <w:r>
              <w:rPr>
                <w:rFonts w:ascii="仿宋_GB2312" w:hAnsi="仿宋_GB2312" w:cs="仿宋_GB2312" w:eastAsia="仿宋_GB2312"/>
                <w:sz w:val="20"/>
              </w:rPr>
              <w:t>工作范围：对西安市长安区</w:t>
            </w:r>
            <w:r>
              <w:rPr>
                <w:rFonts w:ascii="仿宋_GB2312" w:hAnsi="仿宋_GB2312" w:cs="仿宋_GB2312" w:eastAsia="仿宋_GB2312"/>
                <w:sz w:val="20"/>
              </w:rPr>
              <w:t>2025年市政道路挖掘修复工程进行监理。</w:t>
            </w:r>
          </w:p>
          <w:p>
            <w:pPr>
              <w:pStyle w:val="null3"/>
              <w:ind w:left="45" w:right="45" w:firstLine="400"/>
              <w:jc w:val="both"/>
            </w:pPr>
            <w:r>
              <w:rPr>
                <w:rFonts w:ascii="仿宋_GB2312" w:hAnsi="仿宋_GB2312" w:cs="仿宋_GB2312" w:eastAsia="仿宋_GB2312"/>
                <w:sz w:val="20"/>
              </w:rPr>
              <w:t>监理工作内容包括：</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1）收到工程设计文件后编制监理规划，并在第一次工地会议7天前报委托人。根据有关规定和监理工作需要，编制监理实施细则；</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2）熟悉工程设计文件，并参加由委托人主持的图纸会审和设计交底会议；</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3）参加由委托人主持的第一次工地会议；主持监理例会并根据工程需要主持或参加专题会议；</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4）审查施工承包人提交的施工组织设计，重点审查其中的质量安全技术措施、专项施工方案与工程建设强制性标准的符合性；</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5）检查施工承包人工程质量、安全生产管理制度及组织机构和人员资格；</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6）检查施工承包人专职安全生产管理人员的配备情况；</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7）审查施工承包人提交的施工进度计划，核查承包人对施工进度计划的调整；</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8）检查施工承包人的试验室；</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9）审核施工分包人资质条件；</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10）查验施工承包人的施工测量放线成果；</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11）审查工程开工条件，对条件具备的签发开工令；</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12）审查施工承包人报送的工程材料、构配件、设备质量证明文件的有效性和符合性，并按规定对用于工程的材料采取平行检验或见证取样方式进行抽检；</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13）审核施工承包人提交的工程款支付申请，签发或出具工程款支付证书，并报委托人审核、批准；</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14）在巡视、旁站和检验过程中，发现工程质量、施工安全存在事故隐患的，要求施工承包人整改并报委托人；</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15）经委托人同意，签发工程暂停令和复工令；</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16）审查施工承包人提交的采用新材料、新工艺、新技术、新设备的论证材料及相关验收标准；</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17）验收隐蔽工程、分部分项工程；</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18）审查施工承包人提交的工程变更申请，协调处理施工进度调整、费用索赔、合同争议等事项；</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19）审查施工承包人提交的竣工验收申请，编写工程质量评估报告；</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20）参加工程竣工验收，签署竣工验收意见；</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21）审查施工承包人提交的竣工结算申请并报委托人；</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22）编制、整理工程监理归档文件并报委托人。</w:t>
            </w:r>
          </w:p>
          <w:p>
            <w:pPr>
              <w:pStyle w:val="null3"/>
              <w:ind w:left="45" w:right="45" w:firstLine="400"/>
              <w:jc w:val="both"/>
            </w:pPr>
            <w:r>
              <w:rPr>
                <w:rFonts w:ascii="仿宋_GB2312" w:hAnsi="仿宋_GB2312" w:cs="仿宋_GB2312" w:eastAsia="仿宋_GB2312"/>
                <w:sz w:val="20"/>
              </w:rPr>
              <w:t>3、</w:t>
            </w:r>
            <w:r>
              <w:rPr>
                <w:rFonts w:ascii="仿宋_GB2312" w:hAnsi="仿宋_GB2312" w:cs="仿宋_GB2312" w:eastAsia="仿宋_GB2312"/>
                <w:sz w:val="20"/>
              </w:rPr>
              <w:t>技术要求</w:t>
            </w:r>
          </w:p>
          <w:p>
            <w:pPr>
              <w:pStyle w:val="null3"/>
              <w:ind w:left="45" w:right="45" w:firstLine="400"/>
              <w:jc w:val="both"/>
            </w:pPr>
            <w:r>
              <w:rPr>
                <w:rFonts w:ascii="仿宋_GB2312" w:hAnsi="仿宋_GB2312" w:cs="仿宋_GB2312" w:eastAsia="仿宋_GB2312"/>
                <w:sz w:val="20"/>
              </w:rPr>
              <w:t>本项目监理涉及的相关规范和依据</w:t>
            </w:r>
            <w:r>
              <w:rPr>
                <w:rFonts w:ascii="仿宋_GB2312" w:hAnsi="仿宋_GB2312" w:cs="仿宋_GB2312" w:eastAsia="仿宋_GB2312"/>
                <w:sz w:val="20"/>
              </w:rPr>
              <w:t>：</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国家有关法律法规</w:t>
            </w:r>
            <w:r>
              <w:rPr>
                <w:rFonts w:ascii="仿宋_GB2312" w:hAnsi="仿宋_GB2312" w:cs="仿宋_GB2312" w:eastAsia="仿宋_GB2312"/>
                <w:sz w:val="20"/>
              </w:rPr>
              <w:t>；</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国家行业和地方工程建设的技术标准、规范</w:t>
            </w:r>
            <w:r>
              <w:rPr>
                <w:rFonts w:ascii="仿宋_GB2312" w:hAnsi="仿宋_GB2312" w:cs="仿宋_GB2312" w:eastAsia="仿宋_GB2312"/>
                <w:sz w:val="20"/>
              </w:rPr>
              <w:t>；</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质量监督部门下达的有关文件要求；</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经有关部门批准的工程项目文件和设计图纸、设计以及设计变更；</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采购人</w:t>
            </w:r>
            <w:r>
              <w:rPr>
                <w:rFonts w:ascii="仿宋_GB2312" w:hAnsi="仿宋_GB2312" w:cs="仿宋_GB2312" w:eastAsia="仿宋_GB2312"/>
                <w:sz w:val="20"/>
              </w:rPr>
              <w:t>与本监理</w:t>
            </w:r>
            <w:r>
              <w:rPr>
                <w:rFonts w:ascii="仿宋_GB2312" w:hAnsi="仿宋_GB2312" w:cs="仿宋_GB2312" w:eastAsia="仿宋_GB2312"/>
                <w:sz w:val="20"/>
              </w:rPr>
              <w:t>单位</w:t>
            </w:r>
            <w:r>
              <w:rPr>
                <w:rFonts w:ascii="仿宋_GB2312" w:hAnsi="仿宋_GB2312" w:cs="仿宋_GB2312" w:eastAsia="仿宋_GB2312"/>
                <w:sz w:val="20"/>
              </w:rPr>
              <w:t>签订的工程建设监理合同；</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采购人</w:t>
            </w:r>
            <w:r>
              <w:rPr>
                <w:rFonts w:ascii="仿宋_GB2312" w:hAnsi="仿宋_GB2312" w:cs="仿宋_GB2312" w:eastAsia="仿宋_GB2312"/>
                <w:sz w:val="20"/>
              </w:rPr>
              <w:t>与施工承包单位签订的建设工程施工合同；</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本监理</w:t>
            </w:r>
            <w:r>
              <w:rPr>
                <w:rFonts w:ascii="仿宋_GB2312" w:hAnsi="仿宋_GB2312" w:cs="仿宋_GB2312" w:eastAsia="仿宋_GB2312"/>
                <w:sz w:val="20"/>
              </w:rPr>
              <w:t>单位</w:t>
            </w:r>
            <w:r>
              <w:rPr>
                <w:rFonts w:ascii="仿宋_GB2312" w:hAnsi="仿宋_GB2312" w:cs="仿宋_GB2312" w:eastAsia="仿宋_GB2312"/>
                <w:sz w:val="20"/>
              </w:rPr>
              <w:t>编制的监理规划。</w:t>
            </w:r>
          </w:p>
          <w:p>
            <w:pPr>
              <w:pStyle w:val="null3"/>
              <w:ind w:left="45" w:right="45" w:firstLine="400"/>
              <w:jc w:val="both"/>
            </w:pPr>
            <w:r>
              <w:rPr>
                <w:rFonts w:ascii="仿宋_GB2312" w:hAnsi="仿宋_GB2312" w:cs="仿宋_GB2312" w:eastAsia="仿宋_GB2312"/>
                <w:sz w:val="20"/>
              </w:rPr>
              <w:t>4、服务要求</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人员配备：</w:t>
            </w:r>
          </w:p>
          <w:p>
            <w:pPr>
              <w:pStyle w:val="null3"/>
              <w:ind w:left="45" w:right="45" w:firstLine="400"/>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监理单位有健全的组织机构，有资格齐全、专业齐备的监理人员。</w:t>
            </w:r>
          </w:p>
          <w:p>
            <w:pPr>
              <w:pStyle w:val="null3"/>
              <w:ind w:left="45" w:right="45" w:firstLine="400"/>
              <w:jc w:val="both"/>
            </w:pPr>
            <w:r>
              <w:rPr>
                <w:rFonts w:ascii="仿宋_GB2312" w:hAnsi="仿宋_GB2312" w:cs="仿宋_GB2312" w:eastAsia="仿宋_GB2312"/>
                <w:sz w:val="20"/>
              </w:rPr>
              <w:t>2.</w:t>
            </w:r>
            <w:r>
              <w:rPr>
                <w:rFonts w:ascii="仿宋_GB2312" w:hAnsi="仿宋_GB2312" w:cs="仿宋_GB2312" w:eastAsia="仿宋_GB2312"/>
                <w:sz w:val="20"/>
              </w:rPr>
              <w:t>有合格的、经验丰富的现场工程师。派驻现场的监理人员要熟悉所从事的业务，具备胜任监理业务的能力，具有良好的沟通、协调能力。总监理工程师具有现场处理复杂问题能力和水平。</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监理职责</w:t>
            </w:r>
            <w:r>
              <w:rPr>
                <w:rFonts w:ascii="仿宋_GB2312" w:hAnsi="仿宋_GB2312" w:cs="仿宋_GB2312" w:eastAsia="仿宋_GB2312"/>
                <w:sz w:val="20"/>
              </w:rPr>
              <w:t>：</w:t>
            </w:r>
          </w:p>
          <w:p>
            <w:pPr>
              <w:pStyle w:val="null3"/>
              <w:ind w:left="45" w:right="45" w:firstLine="400"/>
              <w:jc w:val="both"/>
            </w:pPr>
            <w:r>
              <w:rPr>
                <w:rFonts w:ascii="仿宋_GB2312" w:hAnsi="仿宋_GB2312" w:cs="仿宋_GB2312" w:eastAsia="仿宋_GB2312"/>
                <w:sz w:val="20"/>
              </w:rPr>
              <w:t>1.</w:t>
            </w:r>
            <w:r>
              <w:rPr>
                <w:rFonts w:ascii="仿宋_GB2312" w:hAnsi="仿宋_GB2312" w:cs="仿宋_GB2312" w:eastAsia="仿宋_GB2312"/>
                <w:sz w:val="20"/>
              </w:rPr>
              <w:t>审查承包人拟选择的分包项目和分包人，报委托人批准；</w:t>
            </w:r>
          </w:p>
          <w:p>
            <w:pPr>
              <w:pStyle w:val="null3"/>
              <w:ind w:left="45" w:right="45" w:firstLine="400"/>
              <w:jc w:val="both"/>
            </w:pPr>
            <w:r>
              <w:rPr>
                <w:rFonts w:ascii="仿宋_GB2312" w:hAnsi="仿宋_GB2312" w:cs="仿宋_GB2312" w:eastAsia="仿宋_GB2312"/>
                <w:sz w:val="20"/>
              </w:rPr>
              <w:t>2.</w:t>
            </w:r>
            <w:r>
              <w:rPr>
                <w:rFonts w:ascii="仿宋_GB2312" w:hAnsi="仿宋_GB2312" w:cs="仿宋_GB2312" w:eastAsia="仿宋_GB2312"/>
                <w:sz w:val="20"/>
              </w:rPr>
              <w:t>审查承包人提交的施工组织设计、安全技术措施及专项施工方案等各类文件；</w:t>
            </w:r>
          </w:p>
          <w:p>
            <w:pPr>
              <w:pStyle w:val="null3"/>
              <w:ind w:left="45" w:right="45" w:firstLine="400"/>
              <w:jc w:val="both"/>
            </w:pPr>
            <w:r>
              <w:rPr>
                <w:rFonts w:ascii="仿宋_GB2312" w:hAnsi="仿宋_GB2312" w:cs="仿宋_GB2312" w:eastAsia="仿宋_GB2312"/>
                <w:sz w:val="20"/>
              </w:rPr>
              <w:t>3.</w:t>
            </w:r>
            <w:r>
              <w:rPr>
                <w:rFonts w:ascii="仿宋_GB2312" w:hAnsi="仿宋_GB2312" w:cs="仿宋_GB2312" w:eastAsia="仿宋_GB2312"/>
                <w:sz w:val="20"/>
              </w:rPr>
              <w:t>核查并签发施工图纸；</w:t>
            </w:r>
          </w:p>
          <w:p>
            <w:pPr>
              <w:pStyle w:val="null3"/>
              <w:ind w:left="45" w:right="45" w:firstLine="400"/>
              <w:jc w:val="both"/>
            </w:pPr>
            <w:r>
              <w:rPr>
                <w:rFonts w:ascii="仿宋_GB2312" w:hAnsi="仿宋_GB2312" w:cs="仿宋_GB2312" w:eastAsia="仿宋_GB2312"/>
                <w:sz w:val="20"/>
              </w:rPr>
              <w:t>4.</w:t>
            </w:r>
            <w:r>
              <w:rPr>
                <w:rFonts w:ascii="仿宋_GB2312" w:hAnsi="仿宋_GB2312" w:cs="仿宋_GB2312" w:eastAsia="仿宋_GB2312"/>
                <w:sz w:val="20"/>
              </w:rPr>
              <w:t>签发合同项目开工令、暂停施工指示，但应事先征得委托人同意；签发进场通知、复工通知；</w:t>
            </w:r>
          </w:p>
          <w:p>
            <w:pPr>
              <w:pStyle w:val="null3"/>
              <w:ind w:left="45" w:right="45" w:firstLine="400"/>
              <w:jc w:val="both"/>
            </w:pPr>
            <w:r>
              <w:rPr>
                <w:rFonts w:ascii="仿宋_GB2312" w:hAnsi="仿宋_GB2312" w:cs="仿宋_GB2312" w:eastAsia="仿宋_GB2312"/>
                <w:sz w:val="20"/>
              </w:rPr>
              <w:t>5.</w:t>
            </w:r>
            <w:r>
              <w:rPr>
                <w:rFonts w:ascii="仿宋_GB2312" w:hAnsi="仿宋_GB2312" w:cs="仿宋_GB2312" w:eastAsia="仿宋_GB2312"/>
                <w:sz w:val="20"/>
              </w:rPr>
              <w:t>审核和签发工程计量、付款凭证；</w:t>
            </w:r>
          </w:p>
          <w:p>
            <w:pPr>
              <w:pStyle w:val="null3"/>
              <w:ind w:left="45" w:right="45" w:firstLine="400"/>
              <w:jc w:val="both"/>
            </w:pPr>
            <w:r>
              <w:rPr>
                <w:rFonts w:ascii="仿宋_GB2312" w:hAnsi="仿宋_GB2312" w:cs="仿宋_GB2312" w:eastAsia="仿宋_GB2312"/>
                <w:sz w:val="20"/>
              </w:rPr>
              <w:t>6.</w:t>
            </w:r>
            <w:r>
              <w:rPr>
                <w:rFonts w:ascii="仿宋_GB2312" w:hAnsi="仿宋_GB2312" w:cs="仿宋_GB2312" w:eastAsia="仿宋_GB2312"/>
                <w:sz w:val="20"/>
              </w:rPr>
              <w:t>核查承包人现场工作人员数量及相应岗位资格，有权要求承包人撤换不称职的现场工作人员；</w:t>
            </w:r>
          </w:p>
          <w:p>
            <w:pPr>
              <w:pStyle w:val="null3"/>
              <w:ind w:left="45" w:right="45" w:firstLine="400"/>
              <w:jc w:val="both"/>
            </w:pPr>
            <w:r>
              <w:rPr>
                <w:rFonts w:ascii="仿宋_GB2312" w:hAnsi="仿宋_GB2312" w:cs="仿宋_GB2312" w:eastAsia="仿宋_GB2312"/>
                <w:sz w:val="20"/>
              </w:rPr>
              <w:t>7.</w:t>
            </w:r>
            <w:r>
              <w:rPr>
                <w:rFonts w:ascii="仿宋_GB2312" w:hAnsi="仿宋_GB2312" w:cs="仿宋_GB2312" w:eastAsia="仿宋_GB2312"/>
                <w:sz w:val="20"/>
              </w:rPr>
              <w:t>发现承包人使用的施工设备影响工程质量或进度时，有权要求承包人增加或更换施工设备；</w:t>
            </w:r>
          </w:p>
          <w:p>
            <w:pPr>
              <w:pStyle w:val="null3"/>
              <w:ind w:left="45" w:right="45" w:firstLine="400"/>
              <w:jc w:val="both"/>
            </w:pPr>
            <w:r>
              <w:rPr>
                <w:rFonts w:ascii="仿宋_GB2312" w:hAnsi="仿宋_GB2312" w:cs="仿宋_GB2312" w:eastAsia="仿宋_GB2312"/>
                <w:sz w:val="20"/>
              </w:rPr>
              <w:t>8.</w:t>
            </w:r>
            <w:r>
              <w:rPr>
                <w:rFonts w:ascii="仿宋_GB2312" w:hAnsi="仿宋_GB2312" w:cs="仿宋_GB2312" w:eastAsia="仿宋_GB2312"/>
                <w:sz w:val="20"/>
              </w:rPr>
              <w:t>核验建筑材料、建筑构配件和设备质量，检查、检验并确认工程的施工质量；</w:t>
            </w:r>
          </w:p>
          <w:p>
            <w:pPr>
              <w:pStyle w:val="null3"/>
              <w:ind w:left="45" w:right="45" w:firstLine="400"/>
              <w:jc w:val="both"/>
            </w:pPr>
            <w:r>
              <w:rPr>
                <w:rFonts w:ascii="仿宋_GB2312" w:hAnsi="仿宋_GB2312" w:cs="仿宋_GB2312" w:eastAsia="仿宋_GB2312"/>
                <w:sz w:val="20"/>
              </w:rPr>
              <w:t>9.</w:t>
            </w:r>
            <w:r>
              <w:rPr>
                <w:rFonts w:ascii="仿宋_GB2312" w:hAnsi="仿宋_GB2312" w:cs="仿宋_GB2312" w:eastAsia="仿宋_GB2312"/>
                <w:sz w:val="20"/>
              </w:rPr>
              <w:t>检查施工安全生产情况。发现存在质量、安全事故隐患，或发生质量、安全事故，应按有关规定及时采取相应的监理措施；</w:t>
            </w:r>
          </w:p>
          <w:p>
            <w:pPr>
              <w:pStyle w:val="null3"/>
              <w:ind w:left="45" w:right="45" w:firstLine="400"/>
              <w:jc w:val="both"/>
            </w:pPr>
            <w:r>
              <w:rPr>
                <w:rFonts w:ascii="仿宋_GB2312" w:hAnsi="仿宋_GB2312" w:cs="仿宋_GB2312" w:eastAsia="仿宋_GB2312"/>
                <w:sz w:val="20"/>
              </w:rPr>
              <w:t>10.</w:t>
            </w:r>
            <w:r>
              <w:rPr>
                <w:rFonts w:ascii="仿宋_GB2312" w:hAnsi="仿宋_GB2312" w:cs="仿宋_GB2312" w:eastAsia="仿宋_GB2312"/>
                <w:sz w:val="20"/>
              </w:rPr>
              <w:t>监督、检查工程施工进度；</w:t>
            </w:r>
          </w:p>
          <w:p>
            <w:pPr>
              <w:pStyle w:val="null3"/>
              <w:ind w:left="45" w:right="45" w:firstLine="400"/>
              <w:jc w:val="both"/>
            </w:pPr>
            <w:r>
              <w:rPr>
                <w:rFonts w:ascii="仿宋_GB2312" w:hAnsi="仿宋_GB2312" w:cs="仿宋_GB2312" w:eastAsia="仿宋_GB2312"/>
                <w:sz w:val="20"/>
              </w:rPr>
              <w:t>11.</w:t>
            </w:r>
            <w:r>
              <w:rPr>
                <w:rFonts w:ascii="仿宋_GB2312" w:hAnsi="仿宋_GB2312" w:cs="仿宋_GB2312" w:eastAsia="仿宋_GB2312"/>
                <w:sz w:val="20"/>
              </w:rPr>
              <w:t>及时做好工程施工过程各种监理信息的收集、整理和归档，并保证现场记录、试验、检验、检查等资料的完整和真实。</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专业设备：</w:t>
            </w:r>
          </w:p>
          <w:p>
            <w:pPr>
              <w:pStyle w:val="null3"/>
              <w:ind w:left="45" w:right="45" w:firstLine="400"/>
              <w:jc w:val="both"/>
            </w:pPr>
            <w:r>
              <w:rPr>
                <w:rFonts w:ascii="仿宋_GB2312" w:hAnsi="仿宋_GB2312" w:cs="仿宋_GB2312" w:eastAsia="仿宋_GB2312"/>
                <w:sz w:val="20"/>
              </w:rPr>
              <w:t>满足本项目设备需求。</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服务标准：</w:t>
            </w:r>
          </w:p>
          <w:p>
            <w:pPr>
              <w:pStyle w:val="null3"/>
              <w:ind w:left="45" w:right="45" w:firstLine="400"/>
              <w:jc w:val="both"/>
            </w:pPr>
            <w:r>
              <w:rPr>
                <w:rFonts w:ascii="仿宋_GB2312" w:hAnsi="仿宋_GB2312" w:cs="仿宋_GB2312" w:eastAsia="仿宋_GB2312"/>
                <w:sz w:val="20"/>
              </w:rPr>
              <w:t>1.</w:t>
            </w:r>
            <w:r>
              <w:rPr>
                <w:rFonts w:ascii="仿宋_GB2312" w:hAnsi="仿宋_GB2312" w:cs="仿宋_GB2312" w:eastAsia="仿宋_GB2312"/>
                <w:sz w:val="20"/>
              </w:rPr>
              <w:t>国家有关法律法规</w:t>
            </w:r>
            <w:r>
              <w:rPr>
                <w:rFonts w:ascii="仿宋_GB2312" w:hAnsi="仿宋_GB2312" w:cs="仿宋_GB2312" w:eastAsia="仿宋_GB2312"/>
                <w:sz w:val="20"/>
              </w:rPr>
              <w:t>；</w:t>
            </w:r>
          </w:p>
          <w:p>
            <w:pPr>
              <w:pStyle w:val="null3"/>
              <w:ind w:left="45" w:right="45" w:firstLine="400"/>
              <w:jc w:val="both"/>
            </w:pPr>
            <w:r>
              <w:rPr>
                <w:rFonts w:ascii="仿宋_GB2312" w:hAnsi="仿宋_GB2312" w:cs="仿宋_GB2312" w:eastAsia="仿宋_GB2312"/>
                <w:sz w:val="20"/>
              </w:rPr>
              <w:t>2.</w:t>
            </w:r>
            <w:r>
              <w:rPr>
                <w:rFonts w:ascii="仿宋_GB2312" w:hAnsi="仿宋_GB2312" w:cs="仿宋_GB2312" w:eastAsia="仿宋_GB2312"/>
                <w:sz w:val="20"/>
              </w:rPr>
              <w:t>国家行业和地方工程建设的技术标准、规范</w:t>
            </w:r>
            <w:r>
              <w:rPr>
                <w:rFonts w:ascii="仿宋_GB2312" w:hAnsi="仿宋_GB2312" w:cs="仿宋_GB2312" w:eastAsia="仿宋_GB2312"/>
                <w:sz w:val="20"/>
              </w:rPr>
              <w:t>；</w:t>
            </w:r>
          </w:p>
          <w:p>
            <w:pPr>
              <w:pStyle w:val="null3"/>
              <w:ind w:left="45" w:right="45" w:firstLine="400"/>
              <w:jc w:val="both"/>
            </w:pPr>
            <w:r>
              <w:rPr>
                <w:rFonts w:ascii="仿宋_GB2312" w:hAnsi="仿宋_GB2312" w:cs="仿宋_GB2312" w:eastAsia="仿宋_GB2312"/>
                <w:sz w:val="20"/>
              </w:rPr>
              <w:t>3.</w:t>
            </w:r>
            <w:r>
              <w:rPr>
                <w:rFonts w:ascii="仿宋_GB2312" w:hAnsi="仿宋_GB2312" w:cs="仿宋_GB2312" w:eastAsia="仿宋_GB2312"/>
                <w:sz w:val="20"/>
              </w:rPr>
              <w:t>质量监督部门下达的有关文件要求；</w:t>
            </w:r>
          </w:p>
          <w:p>
            <w:pPr>
              <w:pStyle w:val="null3"/>
              <w:ind w:left="45" w:right="45" w:firstLine="400"/>
              <w:jc w:val="both"/>
            </w:pPr>
            <w:r>
              <w:rPr>
                <w:rFonts w:ascii="仿宋_GB2312" w:hAnsi="仿宋_GB2312" w:cs="仿宋_GB2312" w:eastAsia="仿宋_GB2312"/>
                <w:sz w:val="20"/>
              </w:rPr>
              <w:t>4.</w:t>
            </w:r>
            <w:r>
              <w:rPr>
                <w:rFonts w:ascii="仿宋_GB2312" w:hAnsi="仿宋_GB2312" w:cs="仿宋_GB2312" w:eastAsia="仿宋_GB2312"/>
                <w:sz w:val="20"/>
              </w:rPr>
              <w:t>经有关部门批准的工程项目文件和设计图纸、设计以及设计变更；</w:t>
            </w:r>
          </w:p>
          <w:p>
            <w:pPr>
              <w:pStyle w:val="null3"/>
              <w:ind w:left="45" w:right="45" w:firstLine="400"/>
              <w:jc w:val="both"/>
            </w:pPr>
            <w:r>
              <w:rPr>
                <w:rFonts w:ascii="仿宋_GB2312" w:hAnsi="仿宋_GB2312" w:cs="仿宋_GB2312" w:eastAsia="仿宋_GB2312"/>
                <w:sz w:val="20"/>
              </w:rPr>
              <w:t>5.</w:t>
            </w:r>
            <w:r>
              <w:rPr>
                <w:rFonts w:ascii="仿宋_GB2312" w:hAnsi="仿宋_GB2312" w:cs="仿宋_GB2312" w:eastAsia="仿宋_GB2312"/>
                <w:sz w:val="20"/>
              </w:rPr>
              <w:t>采购人</w:t>
            </w:r>
            <w:r>
              <w:rPr>
                <w:rFonts w:ascii="仿宋_GB2312" w:hAnsi="仿宋_GB2312" w:cs="仿宋_GB2312" w:eastAsia="仿宋_GB2312"/>
                <w:sz w:val="20"/>
              </w:rPr>
              <w:t>与本监理</w:t>
            </w:r>
            <w:r>
              <w:rPr>
                <w:rFonts w:ascii="仿宋_GB2312" w:hAnsi="仿宋_GB2312" w:cs="仿宋_GB2312" w:eastAsia="仿宋_GB2312"/>
                <w:sz w:val="20"/>
              </w:rPr>
              <w:t>单位</w:t>
            </w:r>
            <w:r>
              <w:rPr>
                <w:rFonts w:ascii="仿宋_GB2312" w:hAnsi="仿宋_GB2312" w:cs="仿宋_GB2312" w:eastAsia="仿宋_GB2312"/>
                <w:sz w:val="20"/>
              </w:rPr>
              <w:t>签订的工程建设监理合同；</w:t>
            </w:r>
          </w:p>
          <w:p>
            <w:pPr>
              <w:pStyle w:val="null3"/>
              <w:ind w:left="45" w:right="45" w:firstLine="400"/>
              <w:jc w:val="both"/>
            </w:pPr>
            <w:r>
              <w:rPr>
                <w:rFonts w:ascii="仿宋_GB2312" w:hAnsi="仿宋_GB2312" w:cs="仿宋_GB2312" w:eastAsia="仿宋_GB2312"/>
                <w:sz w:val="20"/>
              </w:rPr>
              <w:t>6.</w:t>
            </w:r>
            <w:r>
              <w:rPr>
                <w:rFonts w:ascii="仿宋_GB2312" w:hAnsi="仿宋_GB2312" w:cs="仿宋_GB2312" w:eastAsia="仿宋_GB2312"/>
                <w:sz w:val="20"/>
              </w:rPr>
              <w:t>采购人</w:t>
            </w:r>
            <w:r>
              <w:rPr>
                <w:rFonts w:ascii="仿宋_GB2312" w:hAnsi="仿宋_GB2312" w:cs="仿宋_GB2312" w:eastAsia="仿宋_GB2312"/>
                <w:sz w:val="20"/>
              </w:rPr>
              <w:t>与施工承包单位签订的建设工程施工合同；</w:t>
            </w:r>
          </w:p>
          <w:p>
            <w:pPr>
              <w:pStyle w:val="null3"/>
              <w:ind w:left="45" w:right="45" w:firstLine="400"/>
              <w:jc w:val="both"/>
            </w:pPr>
            <w:r>
              <w:rPr>
                <w:rFonts w:ascii="仿宋_GB2312" w:hAnsi="仿宋_GB2312" w:cs="仿宋_GB2312" w:eastAsia="仿宋_GB2312"/>
                <w:sz w:val="20"/>
              </w:rPr>
              <w:t>7.</w:t>
            </w:r>
            <w:r>
              <w:rPr>
                <w:rFonts w:ascii="仿宋_GB2312" w:hAnsi="仿宋_GB2312" w:cs="仿宋_GB2312" w:eastAsia="仿宋_GB2312"/>
                <w:sz w:val="20"/>
              </w:rPr>
              <w:t>本监理</w:t>
            </w:r>
            <w:r>
              <w:rPr>
                <w:rFonts w:ascii="仿宋_GB2312" w:hAnsi="仿宋_GB2312" w:cs="仿宋_GB2312" w:eastAsia="仿宋_GB2312"/>
                <w:sz w:val="20"/>
              </w:rPr>
              <w:t>单位</w:t>
            </w:r>
            <w:r>
              <w:rPr>
                <w:rFonts w:ascii="仿宋_GB2312" w:hAnsi="仿宋_GB2312" w:cs="仿宋_GB2312" w:eastAsia="仿宋_GB2312"/>
                <w:sz w:val="20"/>
              </w:rPr>
              <w:t>编制的监理规划。</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5）成果交付要求：</w:t>
            </w:r>
          </w:p>
          <w:p>
            <w:pPr>
              <w:pStyle w:val="null3"/>
              <w:ind w:left="45" w:right="45" w:firstLine="400"/>
              <w:jc w:val="both"/>
            </w:pPr>
            <w:r>
              <w:rPr>
                <w:rFonts w:ascii="仿宋_GB2312" w:hAnsi="仿宋_GB2312" w:cs="仿宋_GB2312" w:eastAsia="仿宋_GB2312"/>
                <w:sz w:val="20"/>
              </w:rPr>
              <w:t>监理单位相关资料递交。（例监理规划、旁站记录、监理日志等相关资料）</w:t>
            </w:r>
          </w:p>
          <w:p>
            <w:pPr>
              <w:pStyle w:val="null3"/>
              <w:ind w:left="45" w:right="45" w:firstLine="400"/>
              <w:jc w:val="both"/>
            </w:pPr>
            <w:r>
              <w:rPr>
                <w:rFonts w:ascii="仿宋_GB2312" w:hAnsi="仿宋_GB2312" w:cs="仿宋_GB2312" w:eastAsia="仿宋_GB2312"/>
                <w:sz w:val="20"/>
              </w:rPr>
              <w:t>（</w:t>
            </w:r>
            <w:r>
              <w:rPr>
                <w:rFonts w:ascii="仿宋_GB2312" w:hAnsi="仿宋_GB2312" w:cs="仿宋_GB2312" w:eastAsia="仿宋_GB2312"/>
                <w:sz w:val="20"/>
              </w:rPr>
              <w:t>6）质量验收标准或规范：符合国家工程质量验收“合格”标准。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满足磋商文件及采购人要求。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满足磋商文件及采购人要求。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根据采购人、磋商文件要求及合同约定执行。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服务期限：365天（自合同签订之日起）</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符合国家工程质量验收“合格”标准。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第一次付款：本合同签订后监理人提出付款申请并提供等额合同发票经审核通过后7天内</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第二次付款：工程完工后监理人提出付款申请并提供等额合规发票经审核通过后14天内</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第三次付款：工程竣工结算后，监理人提出付款申请并提供等额合规发票经审核通过后14日内支付剩余款项</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第四次付款：缺陷责任期满，监理人提出付款申请并提供等额合规发票经审核通过后14日内支付剩余款项</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 1.受托人未履行本合同义务的，应承担相应的责任。 1.1 因受托人违反本合同约定给委托人造成损失的，受托人应当赔偿委托人损失。赔偿金额的确定方法在专用条件中约定。受托人承担部分赔偿责任的，其承担赔偿金额由双方协商确定。 1.2 未经委托人同意，受托人擅自更换项目负责人，或者项目负责人长期不在岗的。 1.3 受托人不履行合同义务或不按合同约定履行义务的其他情况，并给委托人造成直接经济损失的。 2.委托人的违约责任 委托人未履行本合同义务的，应承担相应的责任。 2.1 委托人违反本合同约定造成受托人损失的，委托人应予以赔偿。 2.2 委托人向受托人的索赔不成立时，应赔偿受托人由此引起的费用。 2.3 委托人未能按期支付酬金超过28天，应按专用条件约定支付逾期付款利息。 3.除外责任 3.1因非受托人的原因，且受托人无过错，发生工程质量事故、安全事故、工期延误等造成的损失，受托人不承担赔偿责任。 3.2受托人对委托人决策（该决策非受托人提供错误咨询意见引起）不承担责任。 3.3因不可抗力对工程项目建设造成的影响，受托人不承担责任。因不可抗力导致本合同全部或部分不能履行时，双方各自承担其因此而造成的损失、损害。 3.4受托人的其他免责条款，由双方另行约定。 （2）解决争议的方法： 委托人和监理人在履行合同中发生争议的，可以友好协商解决。合同当事人友好协商解决不成的，向西安市长安区人民法院提起诉讼。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1、监理费率=中标监理服务费÷本项目工程（施工）采购预算。 本项目监理范围包括西安市长安区2025年市政道路挖掘修复工程监理服务。本项目工程（施工）采购预算为5870000.00元。 2、最终按照经审计的工程（施工）竣工结算价核算监理费，即最终监理服务费=工程(施工)结算造价×监理费率。 本项目工程(施工)结算价为西安市长安区2025年市政道路挖掘修复工程竣工结算价。 3、本项目所属行业为：其他未列明行业。从业人员300人以下的为中小微型企业。其中，从业 人员100人及以上的为中型企业；从业人员10人及以上的为小型企业；从业人员10人以下的为微型企业。 2、成交供应商在领取成交通知书时须提供跟开标时上传的电子响应文件一致的纸质版响应文件一正二副用于备案。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供应商具有独立承担民事责任的能力：提供合格有效的法人或者其他组织的营业执照、事业单位法人证等证明文件或自然人的身份证明；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具有良好的商业信誉和健全的财务会计制度：提供2024年度经审计的财务会计报告（至少包括审计报告、资产负债表和利润表，成立时间至响应文件递交截止时间不足一年的可提供成立后任意时段的资产负债表）或提供响应文件递交截止时间前三个月内其基本账户开户银行出具的资信证明（附基本存款账户信息），以上形式的证明资料提供任何一种即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有依法缴纳税收的良好记录：提供响应文件递交截止时间前一年内至少一个月的纳税证明或完税证明（增值税、营业税、企业所得税至少提供一种），纳税证明或完税证明上应有代收机构或税务机关的公章或业务专用章。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有依法缴纳社会保障资金的良好记录：提供响应文件递交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法定代表人直接参加磋商的，须出具法定代表人身份证明及身份证，法定代表人委托代理人参加磋商的，须出具法定代表人授权委托书及身份证；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供应商须具备具备建设行政主管部门颁发的工程监理综合资质或市政公用工程监理丙级及以上资质</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项目总监</w:t>
            </w:r>
          </w:p>
        </w:tc>
        <w:tc>
          <w:tcPr>
            <w:tcW w:type="dxa" w:w="3322"/>
          </w:tcPr>
          <w:p>
            <w:pPr>
              <w:pStyle w:val="null3"/>
            </w:pPr>
            <w:r>
              <w:rPr>
                <w:rFonts w:ascii="仿宋_GB2312" w:hAnsi="仿宋_GB2312" w:cs="仿宋_GB2312" w:eastAsia="仿宋_GB2312"/>
              </w:rPr>
              <w:t>拟派项目总监理工程师须具备市政公用工程专业国家注册监理工程师资格，在本单位注册，且无在监工程</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供应商信用信息</w:t>
            </w:r>
          </w:p>
        </w:tc>
        <w:tc>
          <w:tcPr>
            <w:tcW w:type="dxa" w:w="3322"/>
          </w:tcPr>
          <w:p>
            <w:pPr>
              <w:pStyle w:val="null3"/>
            </w:pPr>
            <w:r>
              <w:rPr>
                <w:rFonts w:ascii="仿宋_GB2312" w:hAnsi="仿宋_GB2312" w:cs="仿宋_GB2312" w:eastAsia="仿宋_GB2312"/>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日网上查询结果为评审依据）；</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至少以下三处的项目名称、项目编号、合同包（未分合同包的除外）与本项目完全一致：（1）响应文件封面；（2）投标（响应）函；（3）法定代表人（单位负责人）授权委托书\身份证明。</w:t>
            </w:r>
          </w:p>
        </w:tc>
        <w:tc>
          <w:tcPr>
            <w:tcW w:type="dxa" w:w="1661"/>
          </w:tcPr>
          <w:p>
            <w:pPr>
              <w:pStyle w:val="null3"/>
            </w:pPr>
            <w:r>
              <w:rPr>
                <w:rFonts w:ascii="仿宋_GB2312" w:hAnsi="仿宋_GB2312" w:cs="仿宋_GB2312" w:eastAsia="仿宋_GB2312"/>
              </w:rPr>
              <w:t>响应文件封面 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报价唯一，且不高于采购预算及最高限价的。</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供应商资格证明文件.docx 响应函 服务方案.docx 供应商承诺书.docx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自磋商响应文件递交截止之日起90日历天。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服务期限响应磋商文件要求。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供应商资格证明文件.docx 报价表 响应函 供应商承诺书.docx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监理程序及工作制度</w:t>
            </w:r>
          </w:p>
        </w:tc>
        <w:tc>
          <w:tcPr>
            <w:tcW w:type="dxa" w:w="2492"/>
          </w:tcPr>
          <w:p>
            <w:pPr>
              <w:pStyle w:val="null3"/>
            </w:pPr>
            <w:r>
              <w:rPr>
                <w:rFonts w:ascii="仿宋_GB2312" w:hAnsi="仿宋_GB2312" w:cs="仿宋_GB2312" w:eastAsia="仿宋_GB2312"/>
              </w:rPr>
              <w:t>针对本项目提供监理程序及工作制度。 1.监理程序及工作制度具体可行、科学合理，有清晰的监理工作流程图、监理工作准则，且可操作性、针对性强的得5-6分； 2.监理程序及工作制度较具体可行、科学合理，有监理工作流程图、监理工作准则，可操作性、针对性较强的得3-5分； 3.监理程序及工作制度内容简单，可操作性或针对性一般的，得1-3分； 4.未提供的不得分。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监理工作目标及监理依据</w:t>
            </w:r>
          </w:p>
        </w:tc>
        <w:tc>
          <w:tcPr>
            <w:tcW w:type="dxa" w:w="2492"/>
          </w:tcPr>
          <w:p>
            <w:pPr>
              <w:pStyle w:val="null3"/>
            </w:pPr>
            <w:r>
              <w:rPr>
                <w:rFonts w:ascii="仿宋_GB2312" w:hAnsi="仿宋_GB2312" w:cs="仿宋_GB2312" w:eastAsia="仿宋_GB2312"/>
              </w:rPr>
              <w:t>针对本项目提供监理工作目标及监理依据。 1.监理工作目标及监理依据具体可行，目标清晰，依据准确，且可操作性、针对性强的得5-6分； 2.监理工作目标及监理依据较具体可行，可操作性、针对性较强得3-5分； 3.监理工作目标及监理依据内容简单，可操作性或针对性一般的，得1-3分； 4.未提供的不得分。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质量控制管理措施</w:t>
            </w:r>
          </w:p>
        </w:tc>
        <w:tc>
          <w:tcPr>
            <w:tcW w:type="dxa" w:w="2492"/>
          </w:tcPr>
          <w:p>
            <w:pPr>
              <w:pStyle w:val="null3"/>
            </w:pPr>
            <w:r>
              <w:rPr>
                <w:rFonts w:ascii="仿宋_GB2312" w:hAnsi="仿宋_GB2312" w:cs="仿宋_GB2312" w:eastAsia="仿宋_GB2312"/>
              </w:rPr>
              <w:t>针对本项目制定明确的质量控制管理目标，提供具体可行的质量控制措施。 1.质量控制目标清晰、明确，质量控制措施科学合理、具体详细，贴近项目情况、针对性强的得5-6分； 2.质量控制目标较清晰、明确，质量控制措施较科学合理、具体详细，基本贴近项目情况、针对性较强的得3-5分； 3.质量控制目标及措施不完善，针对性一般的得1-3分； 4.未提供的不得分。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安全文明施工监督管理措施</w:t>
            </w:r>
          </w:p>
        </w:tc>
        <w:tc>
          <w:tcPr>
            <w:tcW w:type="dxa" w:w="2492"/>
          </w:tcPr>
          <w:p>
            <w:pPr>
              <w:pStyle w:val="null3"/>
            </w:pPr>
            <w:r>
              <w:rPr>
                <w:rFonts w:ascii="仿宋_GB2312" w:hAnsi="仿宋_GB2312" w:cs="仿宋_GB2312" w:eastAsia="仿宋_GB2312"/>
              </w:rPr>
              <w:t>针对本项目提供安全文明施工监督管理措施。 1.措施符合项目实际情况及实施要求，内容详尽且涵盖角度全面，可行性强，能够保障项目顺利实施的得5-6分； 2.措施基本符合项目实际情况及实施要求，内容较详细，涵盖角度较全面，基本合理可行的得3-5分； 3.措施不够符合项目实际情况及实施要求，内容涵盖角度不够全面且实施有难度的得1-3分；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进度控制管理措施</w:t>
            </w:r>
          </w:p>
        </w:tc>
        <w:tc>
          <w:tcPr>
            <w:tcW w:type="dxa" w:w="2492"/>
          </w:tcPr>
          <w:p>
            <w:pPr>
              <w:pStyle w:val="null3"/>
            </w:pPr>
            <w:r>
              <w:rPr>
                <w:rFonts w:ascii="仿宋_GB2312" w:hAnsi="仿宋_GB2312" w:cs="仿宋_GB2312" w:eastAsia="仿宋_GB2312"/>
              </w:rPr>
              <w:t>针对本项目制定明确的进度控制目标，提供具体可行的进度控制措施。 1.进度控制目标清晰、明确，进度控制措施科学合理、具体详细，贴近项目情况、针对性强的得5-6分； 2.进度控制目标较清晰、明确，进度控制措施较科学合理、具体详细，基本贴近项目情况、针对性较强的得3-5分； 3.进度控制目标及措施不完善，提供内容简单有欠缺，或未贴合实际针对性不强的得1-3分；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计量与支付控制管理措施</w:t>
            </w:r>
          </w:p>
        </w:tc>
        <w:tc>
          <w:tcPr>
            <w:tcW w:type="dxa" w:w="2492"/>
          </w:tcPr>
          <w:p>
            <w:pPr>
              <w:pStyle w:val="null3"/>
            </w:pPr>
            <w:r>
              <w:rPr>
                <w:rFonts w:ascii="仿宋_GB2312" w:hAnsi="仿宋_GB2312" w:cs="仿宋_GB2312" w:eastAsia="仿宋_GB2312"/>
              </w:rPr>
              <w:t>针对本项目提供计量与支付控制管理措施。 1.计量与支付控制管理措施科学合理、具体详细，贴近项目情况、针对性强的得5-6分； 2.计量与支付控制管理措施较科学合理、具体详细，基本贴近项目情况、针对性较强的得3-5分； 3.计量与支付控制管理措施不完善，内容简单有欠缺，实际针对性不强的得1-3分；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合同及信息方面协调管理措施</w:t>
            </w:r>
          </w:p>
        </w:tc>
        <w:tc>
          <w:tcPr>
            <w:tcW w:type="dxa" w:w="2492"/>
          </w:tcPr>
          <w:p>
            <w:pPr>
              <w:pStyle w:val="null3"/>
            </w:pPr>
            <w:r>
              <w:rPr>
                <w:rFonts w:ascii="仿宋_GB2312" w:hAnsi="仿宋_GB2312" w:cs="仿宋_GB2312" w:eastAsia="仿宋_GB2312"/>
              </w:rPr>
              <w:t>针对本项目提供合同及信息方面协调管理措施。 1.合同及信息方面协调管理措施科学合理、具体详细，贴近项目情况、针对性强的得5-6分； 2.合同及信息方面协调管理措施较科学合理、具体详细，基本贴近项目情况、针对性较强的得3-5分； 3.合同及信息方面协调管理措施不完善，内容简单有欠缺，实际针对性不强的得1-3分；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施工现场各方关系协调管理措施</w:t>
            </w:r>
          </w:p>
        </w:tc>
        <w:tc>
          <w:tcPr>
            <w:tcW w:type="dxa" w:w="2492"/>
          </w:tcPr>
          <w:p>
            <w:pPr>
              <w:pStyle w:val="null3"/>
            </w:pPr>
            <w:r>
              <w:rPr>
                <w:rFonts w:ascii="仿宋_GB2312" w:hAnsi="仿宋_GB2312" w:cs="仿宋_GB2312" w:eastAsia="仿宋_GB2312"/>
              </w:rPr>
              <w:t>针对本项目提供施工现场各方关系协调管理措施。 1.施工现场各方关系协调管理措施科学合理、具体详细，贴近项目情况、针对性强的得5-6分； 2.施工现场各方关系协调管理措施较科学合理、具体详细，基本贴近项目情况、针对性较强的得3-5分； 3.施工现场各方关系协调管理措施不完善，内容简单有欠缺，实际针对性不强的得1-3分；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旁站计划及措施</w:t>
            </w:r>
          </w:p>
        </w:tc>
        <w:tc>
          <w:tcPr>
            <w:tcW w:type="dxa" w:w="2492"/>
          </w:tcPr>
          <w:p>
            <w:pPr>
              <w:pStyle w:val="null3"/>
            </w:pPr>
            <w:r>
              <w:rPr>
                <w:rFonts w:ascii="仿宋_GB2312" w:hAnsi="仿宋_GB2312" w:cs="仿宋_GB2312" w:eastAsia="仿宋_GB2312"/>
              </w:rPr>
              <w:t>针对本项目提供旁站计划及措施。 1.旁站计划及措施科学合理、具体详细，贴近项目情况、针对性强的得5-6分； 2.旁站计划及措施较科学合理、具体详细，基本贴近项目情况、针对性较强的得3-5分； 3.旁站计划及措施不完善，内容简单有欠缺，实际针对性不强的得1-3分；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保修阶段的服务管理措施</w:t>
            </w:r>
          </w:p>
        </w:tc>
        <w:tc>
          <w:tcPr>
            <w:tcW w:type="dxa" w:w="2492"/>
          </w:tcPr>
          <w:p>
            <w:pPr>
              <w:pStyle w:val="null3"/>
            </w:pPr>
            <w:r>
              <w:rPr>
                <w:rFonts w:ascii="仿宋_GB2312" w:hAnsi="仿宋_GB2312" w:cs="仿宋_GB2312" w:eastAsia="仿宋_GB2312"/>
              </w:rPr>
              <w:t>针对本项目提供保修阶段的服务管理措施。 1.保修阶段的服务管理措施科学合理、具体详细，贴近项目情况、针对性强的得5-6分； 2.保修阶段的服务管理措施较科学合理、具体详细，基本贴近项目情况、针对性较强的得3-5分； 3.保修阶段的服务管理措施不完善，内容简单有欠缺，实际针对性不强的得1-3分；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供应商提供2022年1月至今类似项目业绩合同（以合同签订时间为准）；一个业绩得2分，最高得6分； （类似定义：承接过市政公用工程监理业绩。）评审依据：提供合同复印件并加盖公章。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拟派总监理工程师</w:t>
            </w:r>
          </w:p>
        </w:tc>
        <w:tc>
          <w:tcPr>
            <w:tcW w:type="dxa" w:w="2492"/>
          </w:tcPr>
          <w:p>
            <w:pPr>
              <w:pStyle w:val="null3"/>
            </w:pPr>
            <w:r>
              <w:rPr>
                <w:rFonts w:ascii="仿宋_GB2312" w:hAnsi="仿宋_GB2312" w:cs="仿宋_GB2312" w:eastAsia="仿宋_GB2312"/>
              </w:rPr>
              <w:t>拟派总监理工程师具备高级职称证书得2分，中级职称证书得1分，其余不得分。 注：提供拟派总监理工程师职称证复印件并加盖供应商公章。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监理人员团队</w:t>
            </w:r>
          </w:p>
        </w:tc>
        <w:tc>
          <w:tcPr>
            <w:tcW w:type="dxa" w:w="2492"/>
          </w:tcPr>
          <w:p>
            <w:pPr>
              <w:pStyle w:val="null3"/>
            </w:pPr>
            <w:r>
              <w:rPr>
                <w:rFonts w:ascii="仿宋_GB2312" w:hAnsi="仿宋_GB2312" w:cs="仿宋_GB2312" w:eastAsia="仿宋_GB2312"/>
              </w:rPr>
              <w:t>针对本项目提供项目监理机构及人员团队。 1.监理机构及人员配置合理、清晰，岗位设置合理科学，完全匹配项目，符合采购内容及要求的得3-4分； 2.监理机构及人员配置不够清晰，岗位设置合理性一般，基本符合采购内容及要求的得2-3分； 3.监理机构及人员配置不清晰，岗位设置不合理，很难符合采购内容及要求的得1-2分； 4.未提供的不得分。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拟投入主要检测设备</w:t>
            </w:r>
          </w:p>
        </w:tc>
        <w:tc>
          <w:tcPr>
            <w:tcW w:type="dxa" w:w="2492"/>
          </w:tcPr>
          <w:p>
            <w:pPr>
              <w:pStyle w:val="null3"/>
            </w:pPr>
            <w:r>
              <w:rPr>
                <w:rFonts w:ascii="仿宋_GB2312" w:hAnsi="仿宋_GB2312" w:cs="仿宋_GB2312" w:eastAsia="仿宋_GB2312"/>
              </w:rPr>
              <w:t>针对本项目提供拟投入主要检测设备。 1.设备配备齐全合理，满足采购需求的得3-4分； 2.设备配备较合理，基本满足采购需求的得2-3分； 3.设备配备一般，不能满足采购需求的得1-2分。 4.未提供的不得分。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监理服务承诺</w:t>
            </w:r>
          </w:p>
        </w:tc>
        <w:tc>
          <w:tcPr>
            <w:tcW w:type="dxa" w:w="2492"/>
          </w:tcPr>
          <w:p>
            <w:pPr>
              <w:pStyle w:val="null3"/>
            </w:pPr>
            <w:r>
              <w:rPr>
                <w:rFonts w:ascii="仿宋_GB2312" w:hAnsi="仿宋_GB2312" w:cs="仿宋_GB2312" w:eastAsia="仿宋_GB2312"/>
              </w:rPr>
              <w:t>针对本项目质量、安全生产、环境环保等方面提供相关承诺，并承诺在监理过程中不随意更换监理人员，按承诺全面性、可行性、合理性，赋分。 1.服务承诺详细全面、合理、可行的得3-4分； 2.服务承诺全面合理，但不够详细，可行性一般的得2-3分； 3.服务承诺不详细，考虑不全面的，不够合理，可行性差的得1-2分； 4.未提供的不得分。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价格分统一采用低价优先法计算，即满足磋商文件要求且磋商价格最低的最终磋商报价为磋商基准价，其价格分为满分。其他供应商的价格分统一按照下列公式计算： 磋商报价得分=(磋商基准价／最终磋商报价)×20。计算分数时四舍五入取小数点后两位。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