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版本号：HRC-ZBDL-2025-01319.1B120251013001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长安区特困人员上门体检服务(二次)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HRC-ZBDL-2025-01319.1B1</w:t>
      </w:r>
      <w:r>
        <w:br/>
      </w:r>
      <w:r>
        <w:br/>
      </w:r>
      <w:r>
        <w:br/>
      </w:r>
    </w:p>
    <w:p>
      <w:pPr>
        <w:pStyle w:val="null3"/>
        <w:jc w:val="center"/>
        <w:outlineLvl w:val="2"/>
      </w:pPr>
      <w:r>
        <w:rPr>
          <w:rFonts w:ascii="仿宋_GB2312" w:hAnsi="仿宋_GB2312" w:cs="仿宋_GB2312" w:eastAsia="仿宋_GB2312"/>
          <w:sz w:val="28"/>
          <w:b/>
        </w:rPr>
        <w:t>西安市长安区民政局</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西安市长安区民政局</w:t>
      </w:r>
      <w:r>
        <w:rPr>
          <w:rFonts w:ascii="仿宋_GB2312" w:hAnsi="仿宋_GB2312" w:cs="仿宋_GB2312" w:eastAsia="仿宋_GB2312"/>
        </w:rPr>
        <w:t>委托，拟对</w:t>
      </w:r>
      <w:r>
        <w:rPr>
          <w:rFonts w:ascii="仿宋_GB2312" w:hAnsi="仿宋_GB2312" w:cs="仿宋_GB2312" w:eastAsia="仿宋_GB2312"/>
        </w:rPr>
        <w:t>长安区特困人员上门体检服务(二次)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HRC-ZBDL-2025-01319.1B1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长安区特困人员上门体检服务(二次)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对长安区65岁（不含）以下特困人员开展上门体检服务；主要功能或目标:体检项目包含肝功11项、肾功2项、B超、DR胸透、血常规、尿常规、心电图。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财务状况报告：提供2023或2024年度经审计的财务会计报告，或其磋商前三个月内基本存款账户开户银行出具的资信证明及基本存款账户开户证明，或财政部门认可的政府采购专业担保机构出具的磋商担保函（以上三种形式的资料提供任何一种即可）；</w:t>
      </w:r>
    </w:p>
    <w:p>
      <w:pPr>
        <w:pStyle w:val="null3"/>
      </w:pPr>
      <w:r>
        <w:rPr>
          <w:rFonts w:ascii="仿宋_GB2312" w:hAnsi="仿宋_GB2312" w:cs="仿宋_GB2312" w:eastAsia="仿宋_GB2312"/>
        </w:rPr>
        <w:t>3、税收缴纳证明：提供开标截止日前一年内已缴纳的至少一个月的纳税证明或完税证明，依法免税的单位应提供相关证明材料；</w:t>
      </w:r>
    </w:p>
    <w:p>
      <w:pPr>
        <w:pStyle w:val="null3"/>
      </w:pPr>
      <w:r>
        <w:rPr>
          <w:rFonts w:ascii="仿宋_GB2312" w:hAnsi="仿宋_GB2312" w:cs="仿宋_GB2312" w:eastAsia="仿宋_GB2312"/>
        </w:rPr>
        <w:t>4、社会保障资金缴存证明：提供开标截止日前一年内已缴存的至少一个月的社会保障资金缴存单据或社保机构开具的社会保险参保缴费情况证明，依法不需要缴纳社会保障资金的单位应提供相关证明材料；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5、授权委托：法定代表人授权书及被授权人身份证明（附法定代表人身份证复印件）（法定代表人直接磋商只需提交其身份证明）；</w:t>
      </w:r>
    </w:p>
    <w:p>
      <w:pPr>
        <w:pStyle w:val="null3"/>
      </w:pPr>
      <w:r>
        <w:rPr>
          <w:rFonts w:ascii="仿宋_GB2312" w:hAnsi="仿宋_GB2312" w:cs="仿宋_GB2312" w:eastAsia="仿宋_GB2312"/>
        </w:rPr>
        <w:t>6、信用查询：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注：信用查询以代理机构现场查询为准，供应商可不提供；</w:t>
      </w:r>
    </w:p>
    <w:p>
      <w:pPr>
        <w:pStyle w:val="null3"/>
      </w:pPr>
      <w:r>
        <w:rPr>
          <w:rFonts w:ascii="仿宋_GB2312" w:hAnsi="仿宋_GB2312" w:cs="仿宋_GB2312" w:eastAsia="仿宋_GB2312"/>
        </w:rPr>
        <w:t>7、资质证书：投标人应具备有效的《医疗机构执业许可证》和《放射诊疗许可证》；</w:t>
      </w:r>
    </w:p>
    <w:p>
      <w:pPr>
        <w:pStyle w:val="null3"/>
      </w:pPr>
      <w:r>
        <w:rPr>
          <w:rFonts w:ascii="仿宋_GB2312" w:hAnsi="仿宋_GB2312" w:cs="仿宋_GB2312" w:eastAsia="仿宋_GB2312"/>
        </w:rPr>
        <w:t>8、非联合体投标：供应商提供《非联合体、不分包投标声明》，供应商应提交的相关资格证明材料视为独立响应，不分包。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西安市长安区西长安街669号区政府东三楼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029-85291181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西安市曲江新区雁翔路旺座曲江E座29层2901号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张婷、杨艳艳、王琛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18161933378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采购包1：191,400.00元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参照《国家计委关于印发&lt;招标代理服务收费管理暂行办法&gt;的通知》(计价格(2002〕1980号)、《国家发展改革委办公厅关于招标代理服务收费有关问题的通知》(发改办价格(2003〕857号)文件规定标准收取。(不足5000元按照 5000元收取)。 2.中标人应在领取成交通知书前，向招标代理机构一次付清招标代理服务费。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西安市长安区民政局</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按竞争性磋商文件、响应文件及合同要求。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联系人：杨艳艳</w:t>
      </w:r>
    </w:p>
    <w:p>
      <w:pPr>
        <w:pStyle w:val="null3"/>
      </w:pPr>
      <w:r>
        <w:rPr>
          <w:rFonts w:ascii="仿宋_GB2312" w:hAnsi="仿宋_GB2312" w:cs="仿宋_GB2312" w:eastAsia="仿宋_GB2312"/>
        </w:rPr>
        <w:t>联系电话：18161933378</w:t>
      </w:r>
    </w:p>
    <w:p>
      <w:pPr>
        <w:pStyle w:val="null3"/>
      </w:pPr>
      <w:r>
        <w:rPr>
          <w:rFonts w:ascii="仿宋_GB2312" w:hAnsi="仿宋_GB2312" w:cs="仿宋_GB2312" w:eastAsia="仿宋_GB2312"/>
        </w:rPr>
        <w:t>地址：西安市曲江新区雁翔路旺座曲江E座29层2901号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对长安区65岁（不含）以下特困人员开展上门体检服务；主要功能或目标:体检项目包含肝功11项、肾功2项、B超、DR胸透、血常规、尿常规、心电图。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191,400.00</w:t>
      </w:r>
    </w:p>
    <w:p>
      <w:pPr>
        <w:pStyle w:val="null3"/>
      </w:pPr>
      <w:r>
        <w:rPr>
          <w:rFonts w:ascii="仿宋_GB2312" w:hAnsi="仿宋_GB2312" w:cs="仿宋_GB2312" w:eastAsia="仿宋_GB2312"/>
        </w:rPr>
        <w:t>采购包最高限价（元）: 191,400.00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长安区特困人员上门体检服务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191,400.00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标的名称：长安区特困人员上门体检服务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对长安区</w:t>
            </w:r>
            <w:r>
              <w:rPr>
                <w:rFonts w:ascii="仿宋_GB2312" w:hAnsi="仿宋_GB2312" w:cs="仿宋_GB2312" w:eastAsia="仿宋_GB2312"/>
              </w:rPr>
              <w:t>65岁（不含）以下特困人员开展上门体检服务；主要功能或目标:体检项目包含肝功11项、肾功2项、B超、DR胸透、血常规、尿常规、心电图</w:t>
            </w:r>
            <w:r>
              <w:rPr>
                <w:rFonts w:ascii="仿宋_GB2312" w:hAnsi="仿宋_GB2312" w:cs="仿宋_GB2312" w:eastAsia="仿宋_GB2312"/>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供应商应配置足够数里、专业的、经验丰富的技术人员完成项目履约。</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供应商根据采购需求提供所需的相应设备。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按照合同签订后75个日历日完成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符合采购人要求及磋商文件要求。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自合同签订之日起40个日历日</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所有人员体检完成并提供相应报告后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成交单位递交纸质文件（成交单位在领取中标通知书前将纸质版投标文件正本 1套、副本2 套打印盖章后提交至采购代理机构处，以便采购人进行留存备案等工作，成交单位应保持投标文件纸质版内容与电子版内容完全一致，否则将承担一切法律责任。纸质投标文件一律采用书籍(胶装)方式装订）。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会计报告，或其磋商前三个月内基本存款账户开户银行出具的资信证明及基本存款账户开户证明，或财政部门认可的政府采购专业担保机构出具的磋商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本采购包非专门面向中小企业采购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会计报告，或其磋商前三个月内基本存款账户开户银行出具的资信证明及基本存款账户开户证明，或财政部门认可的政府采购专业担保机构出具的磋商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提供开标截止日前一年内已缴存的至少一个月的社会保障资金缴存单据或社保机构开具的社会保险参保缴费情况证明，依法不需要缴纳社会保障资金的单位应提供相关证明材料；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法定代表人授权书及被授权人身份证明（附法定代表人身份证复印件）（法定代表人直接磋商只需提交其身份证明）；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注：信用查询以代理机构现场查询为准，供应商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投标人应具备有效的《医疗机构执业许可证》和《放射诊疗许可证》；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供应商提供《非联合体、不分包投标声明》，供应商应提交的相关资格证明材料视为独立响应，不分包。</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分项报价表.docx 供应商认为需要提供的其他资料.docx 中小企业声明函 残疾人福利性单位声明函 技术和商务偏离表.docx 标的清单 报价表 响应函 资格证明文件.docx 监狱企业的证明文件 响应方案.docx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分项报价表.docx 供应商认为需要提供的其他资料.docx 中小企业声明函 残疾人福利性单位声明函 技术和商务偏离表.docx 标的清单 报价表 响应函 资格证明文件.docx 监狱企业的证明文件 响应方案.docx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响应文件封面 分项报价表.docx 供应商认为需要提供的其他资料.docx 中小企业声明函 残疾人福利性单位声明函 技术和商务偏离表.docx 标的清单 报价表 响应函 资格证明文件.docx 监狱企业的证明文件 响应方案.docx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无不符合法律、法规和磋商文件规定的其他无效情形。</w:t>
            </w:r>
          </w:p>
        </w:tc>
        <w:tc>
          <w:tcPr>
            <w:tcW w:type="dxa" w:w="1661"/>
          </w:tcPr>
          <w:p>
            <w:pPr>
              <w:pStyle w:val="null3"/>
            </w:pPr>
            <w:r>
              <w:rPr>
                <w:rFonts w:ascii="仿宋_GB2312" w:hAnsi="仿宋_GB2312" w:cs="仿宋_GB2312" w:eastAsia="仿宋_GB2312"/>
              </w:rPr>
              <w:t>响应文件封面 分项报价表.docx 供应商认为需要提供的其他资料.docx 中小企业声明函 残疾人福利性单位声明函 技术和商务偏离表.docx 标的清单 报价表 响应函 资格证明文件.docx 监狱企业的证明文件 响应方案.docx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体检服务方案</w:t>
            </w:r>
          </w:p>
        </w:tc>
        <w:tc>
          <w:tcPr>
            <w:tcW w:type="dxa" w:w="2492"/>
          </w:tcPr>
          <w:p>
            <w:pPr>
              <w:pStyle w:val="null3"/>
            </w:pPr>
            <w:r>
              <w:rPr>
                <w:rFonts w:ascii="仿宋_GB2312" w:hAnsi="仿宋_GB2312" w:cs="仿宋_GB2312" w:eastAsia="仿宋_GB2312"/>
              </w:rPr>
              <w:t>根据投标人针对本项目提供的体检服务方案（包括但不限于组织管理、运作流程、现场指导、体检安排、检验检测、结果反馈、检后健康指导、卫生安全等方面）进行综合评审： 1、体检服务方案完整、详细、具体、条理清晰，完全满足本项目服务采购要求的，得13-15分； 2、体检服务方案较为完整、详细、具体，条理比较清晰，满足本项目服务采购要求的，得9-13（含）分； 3、体检服务方案不够完整、详细、具体，条理不够清晰，基本满足本项目服务采购要求的，得5-9（含）分； 4、体检服务方案较差，部分满足本项目服务采购要求的，得1-5（含）分； 5、其他情况不得分。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供应商认为需要提供的其他资料.docx</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体检项目</w:t>
            </w:r>
          </w:p>
        </w:tc>
        <w:tc>
          <w:tcPr>
            <w:tcW w:type="dxa" w:w="2492"/>
          </w:tcPr>
          <w:p>
            <w:pPr>
              <w:pStyle w:val="null3"/>
            </w:pPr>
            <w:r>
              <w:rPr>
                <w:rFonts w:ascii="仿宋_GB2312" w:hAnsi="仿宋_GB2312" w:cs="仿宋_GB2312" w:eastAsia="仿宋_GB2312"/>
              </w:rPr>
              <w:t>根据本项目中的基本检查项和可选检查项，投标人提供本项目人员的具体检查项目，在此基础上可自行增加体检项目。 根据投标人提供的检查项目安排及增加的体检项目情况进行综合评审： 1、投标人提供的检查项目及增加的体检项目全面、详细、合理，完全满足采购服务要求，得10-15分； 2、投标人提供的检查项目及增加的体检项目比较全面、详细、合理，满足采购服务要求，得6-10（含）分； 3、投标人提供的检查项目及增加的体检项目不够全面、详细，合理性较差，部分满足采购服务要求，得1-6（含）分； 4、其他情况不得分。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供应商认为需要提供的其他资料.docx</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根据投标人针对本项目提供的应急保障方案（包括但不限于在体检过程中出现的医疗应急事件、设备故障、人员集中、排队等候时间过长等可能引发的问题及突发、意外事故等方面）进行评审： 1、应急保障方案中包含上述全部内容且切合实际，完全满足本项目采购需求的，得8-11分； 2、应急保障方案中包含上述全部内容且比较切合实际，满足本项目采购需求的，得5-8（含）分 3、应急保障方案中包含上述部分内容且不够切合实际，部分满足本项目采购需求的，得1-5（含）分； 4、未提供应急保障方案的，不得分。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拟投入本项目设备情况</w:t>
            </w:r>
          </w:p>
        </w:tc>
        <w:tc>
          <w:tcPr>
            <w:tcW w:type="dxa" w:w="2492"/>
          </w:tcPr>
          <w:p>
            <w:pPr>
              <w:pStyle w:val="null3"/>
            </w:pPr>
            <w:r>
              <w:rPr>
                <w:rFonts w:ascii="仿宋_GB2312" w:hAnsi="仿宋_GB2312" w:cs="仿宋_GB2312" w:eastAsia="仿宋_GB2312"/>
              </w:rPr>
              <w:t>根据投标人拟投入本项目体检的仪器设备情况进行综合评审： 1、拟投入本项目的检测设备齐全，配套设施完整，符合国家相应强制性标准且完全满足采购要求的，得7-9分； 2、拟投入本项目的检测设备较齐全，配套设施较完整，符合国家相应强制性标准且满足采购要求的，得4-7（含）分； 3、拟投入本项目的检测设备不够齐全，配套设施不够完整，符合国家相应强制性标准且部分满足采购要求的，得1-4（含）分；4、其他情况不得分。注：需提供相关证明材料（如设备为自有设备，需提供投标人的设备购买发票；如设备为租赁设备，需提供设备租赁合同）复印件并加盖单位公章。未提供或提供不全或不清晰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药剂配备情况</w:t>
            </w:r>
          </w:p>
        </w:tc>
        <w:tc>
          <w:tcPr>
            <w:tcW w:type="dxa" w:w="2492"/>
          </w:tcPr>
          <w:p>
            <w:pPr>
              <w:pStyle w:val="null3"/>
            </w:pPr>
            <w:r>
              <w:rPr>
                <w:rFonts w:ascii="仿宋_GB2312" w:hAnsi="仿宋_GB2312" w:cs="仿宋_GB2312" w:eastAsia="仿宋_GB2312"/>
              </w:rPr>
              <w:t>根据投标人拟投入本项目药剂配备情况进行综合评审： 1、拟投入本项目的药剂配备齐全，符合国家相应强制性标准且完全满足采购要求的，得7-9分； 2、拟投入本项目的药剂配备较齐全，符合国家相应强制性标准且满足采购要求的，得4-7（含）分； 3、拟投入本项目的药剂配备不够齐全，符合国家相应强制性标准且部分满足采购要求的，得1-4（含）分； 4、其他情况不得分。 注：需提供详细的药剂清单及定期质控的证明材料复印件并加盖单位公章。未提供或提供不全或不清晰的不得分。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根据投标人提供的保密方案（包括但不限于项目可能涉及的失泄密风险评估、保密管理制度、保密保障措施等）进行评审： 1、保密方案内容全面完善，失泄密风险评估合理，应对措施切实可行、有针对性，完全满足项目采购要求，得4-5分； 2、保密保障方案内容比较全面完善，失泄密风险评估较为合理，应对措施基本切实可行，比较有针对性，基本满足项目采购要求，得2-4（含）分； 3、保密保障方案内容不够全面完善，失泄密风险评估合理性较差，应对措施不够切实可行，针对性较差，部分满足项目采购要求，得1-2（含）分； 4、差或未提供的不得分。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根据投标人提供的安全保障方案（包括但不限于项目可能涉及的安全风险评估、安全管理制度、安全保障措施等）进行评审： 1、安全保障方案内容全面、具体，安全风险评估合理，安全保障措施详细、可行、有针对性，得4-5分； 2、安全保障方案内容较全面、具体，安全风险评估较合理，安全保障措施较详细、可行，比较有针对性，得2-4（含）分； 3、安全保障方案内容不全面、不具体，安全风险评估不够合理，安全保障措施不详细，可行性、针对性不足，得1-2（含）分； 4、差或未提供的不得分。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根据投标人针对本项目提供的增值服务进行评审： 1、增值服务方案完整、细致合理、可行性强，且明显有利于采购人，计4-5分； 2、增值服务方案较为完整、细致合理、可行性一般，且有利于采购人，计2-4（含）分； 3、增值服务方案较为简单、针对性较差，有利于采购人的举措不够明显，计1-2（含）分； 4、未提供增值服务不计分。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拟投入团队人员情况</w:t>
            </w:r>
          </w:p>
        </w:tc>
        <w:tc>
          <w:tcPr>
            <w:tcW w:type="dxa" w:w="2492"/>
          </w:tcPr>
          <w:p>
            <w:pPr>
              <w:pStyle w:val="null3"/>
            </w:pPr>
            <w:r>
              <w:rPr>
                <w:rFonts w:ascii="仿宋_GB2312" w:hAnsi="仿宋_GB2312" w:cs="仿宋_GB2312" w:eastAsia="仿宋_GB2312"/>
              </w:rPr>
              <w:t>项目团队:根据本项目拟投入人员的专业、数量、从事类似服务的相关经验等对所有有效投标人进行横向比较，评标委员会根据响应情况计分:人员安排有详细规划，团队架构完整责任清晰，构成合理计6-11分；只提供人员安排，人员架构模糊计 3-6（含） 分；人员安排模糊、人员配置欠缺计1-3（含）分。未提供团队人员的不得分。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自2022年1月1日以来（以合同签订时间为准），投标人承担过类似体检项目业绩的，每提供一个项目得2.5分，最高得5分。 注：须提供项目清晰的合同扫描件。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采用低价优先法计算，即满足磋商文件要求且最终报价最低的价格为磋商基准价，其价格分为满分。其他投标人的价格分统一按照下列公式计算： 磋商报价得分=（磋商基准价/最终磋商报价）×10超出预算的磋商报价在评审过程中按无效投标处理。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详见附件：合同（特困人员上门体检服务） (1).docx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