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版本号：政采B2502.1B120251020001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子午镇村农村供水保障项目(二次)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政采B2502.1B1</w:t>
      </w:r>
      <w:r>
        <w:br/>
      </w:r>
      <w:r>
        <w:br/>
      </w:r>
      <w:r>
        <w:br/>
      </w:r>
    </w:p>
    <w:p>
      <w:pPr>
        <w:pStyle w:val="null3"/>
        <w:jc w:val="center"/>
        <w:outlineLvl w:val="2"/>
      </w:pPr>
      <w:r>
        <w:rPr>
          <w:rFonts w:ascii="仿宋_GB2312" w:hAnsi="仿宋_GB2312" w:cs="仿宋_GB2312" w:eastAsia="仿宋_GB2312"/>
          <w:sz w:val="28"/>
          <w:b/>
        </w:rPr>
        <w:t>西安市长安区子午街道办事处</w:t>
      </w:r>
    </w:p>
    <w:p>
      <w:pPr>
        <w:pStyle w:val="null3"/>
        <w:jc w:val="center"/>
        <w:outlineLvl w:val="2"/>
      </w:pPr>
      <w:r>
        <w:rPr>
          <w:rFonts w:ascii="仿宋_GB2312" w:hAnsi="仿宋_GB2312" w:cs="仿宋_GB2312" w:eastAsia="仿宋_GB2312"/>
          <w:sz w:val="28"/>
          <w:b/>
        </w:rPr>
        <w:t>陕西恒业建设集团有限公司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陕西恒业建设集团有限公司</w:t>
      </w:r>
      <w:r>
        <w:rPr>
          <w:rFonts w:ascii="仿宋_GB2312" w:hAnsi="仿宋_GB2312" w:cs="仿宋_GB2312" w:eastAsia="仿宋_GB2312"/>
        </w:rPr>
        <w:t>（以下简称“代理机构”）受</w:t>
      </w:r>
      <w:r>
        <w:rPr>
          <w:rFonts w:ascii="仿宋_GB2312" w:hAnsi="仿宋_GB2312" w:cs="仿宋_GB2312" w:eastAsia="仿宋_GB2312"/>
        </w:rPr>
        <w:t>西安市长安区子午街道办事处</w:t>
      </w:r>
      <w:r>
        <w:rPr>
          <w:rFonts w:ascii="仿宋_GB2312" w:hAnsi="仿宋_GB2312" w:cs="仿宋_GB2312" w:eastAsia="仿宋_GB2312"/>
        </w:rPr>
        <w:t>委托，拟对</w:t>
      </w:r>
      <w:r>
        <w:rPr>
          <w:rFonts w:ascii="仿宋_GB2312" w:hAnsi="仿宋_GB2312" w:cs="仿宋_GB2312" w:eastAsia="仿宋_GB2312"/>
        </w:rPr>
        <w:t>子午镇村农村供水保障项目(二次)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政采B2502.1B1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子午镇村农村供水保障项目(二次)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本项目区位于西安市长安区子午街道办子午镇村，主要包含的建设内容有：（1）配水管道及其管道附属建筑物：铺设 PE100 级 dn110（1.0MPa）主管道长 570m，铺设 PE100 级 dn90（1.0MPa）主管道长 314m，铺设 PE100 级 dn75（1.0MPa）主管道长1017m，村内街道支线 PE100 级 dn65（1.0MPa）641m，PE100 级 dn50（1.0MPa）13611m。新建闸阀井 70 座，排气阀井 1 座，排泥阀井 3 座，湿井 3 座。（2）入户工程：入户管道统一用 PE100 级 dn25（1.0MPa）（按每户4m 计，长度5956m），水表井及水表则利用原有设施。总工期：180日历天。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采购包1（子午镇村农村供水保障项目（二次））：属于专门面向中小企业采购。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1、申请人合法有效的企事业法人、其他组织或自然人：供应商须具有独立承担民事责任能力的法人或其他组织，提供营业执照或事业单位法人证书，或自然人的身份证明</w:t>
      </w:r>
    </w:p>
    <w:p>
      <w:pPr>
        <w:pStyle w:val="null3"/>
      </w:pPr>
      <w:r>
        <w:rPr>
          <w:rFonts w:ascii="仿宋_GB2312" w:hAnsi="仿宋_GB2312" w:cs="仿宋_GB2312" w:eastAsia="仿宋_GB2312"/>
        </w:rPr>
        <w:t>2、申请人法定代表人授权书：法定代表人参加投标，只须提供法定代表人证明书及身份证原件；法定代表人授权他人参加投标的，须提供法定代表人授权委托书、被授权人身份证复印件及原件</w:t>
      </w:r>
    </w:p>
    <w:p>
      <w:pPr>
        <w:pStyle w:val="null3"/>
      </w:pPr>
      <w:r>
        <w:rPr>
          <w:rFonts w:ascii="仿宋_GB2312" w:hAnsi="仿宋_GB2312" w:cs="仿宋_GB2312" w:eastAsia="仿宋_GB2312"/>
        </w:rPr>
        <w:t>3、资质：供应商具备建设行政主管部门核发的水利水电工程施工总承包三级（含三级）以上资质</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拟派项目负责人资质和专业要求。：供应商拟派项目经理具有水利水电工程专业注册建造师二级及以上执业资格，项目经理具有水行政主管部门颁发的安全生产考核合格证，且在本单位注册；须提供项目经理无在建工程的相关证明材料或承诺书</w:t>
      </w:r>
    </w:p>
    <w:p>
      <w:pPr>
        <w:pStyle w:val="null3"/>
      </w:pPr>
      <w:r>
        <w:rPr>
          <w:rFonts w:ascii="仿宋_GB2312" w:hAnsi="仿宋_GB2312" w:cs="仿宋_GB2312" w:eastAsia="仿宋_GB2312"/>
        </w:rPr>
        <w:t>6、省外企业：省外企业需提供在陕西省建筑市场监管与诚信信息一体化平台上登记备案且备案信息有效</w:t>
      </w:r>
    </w:p>
    <w:p>
      <w:pPr>
        <w:pStyle w:val="null3"/>
      </w:pPr>
      <w:r>
        <w:rPr>
          <w:rFonts w:ascii="仿宋_GB2312" w:hAnsi="仿宋_GB2312" w:cs="仿宋_GB2312" w:eastAsia="仿宋_GB2312"/>
        </w:rPr>
        <w:t>7、财务状况：提供2023或2024年度任意一年经审计的财务会计报告（包括审计报告、资产负债表、利润表、现金流量表、所有者权益变动表及其附注和财务状况说明书等资料，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8、税收缴纳证明：供应商需提供2024年10月1日之今任意一个月的完税凭证或税务机关开具的完税证明（任意税种）；依法免税的应提供相关文件证明</w:t>
      </w:r>
    </w:p>
    <w:p>
      <w:pPr>
        <w:pStyle w:val="null3"/>
      </w:pPr>
      <w:r>
        <w:rPr>
          <w:rFonts w:ascii="仿宋_GB2312" w:hAnsi="仿宋_GB2312" w:cs="仿宋_GB2312" w:eastAsia="仿宋_GB2312"/>
        </w:rPr>
        <w:t>9、社会保障资金缴纳证明：供应商需提供投2024年10月1日之今任意一个月的社会保障资金缴存单据或社保机构开具的社会保险参保缴费情况证明；依法不需要缴纳社会保障资金的应提供相关文件证明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10、申请人近三年内，在经营活动中没有重大违法记录：按磋商响应文件格式提供声明</w:t>
      </w:r>
    </w:p>
    <w:p>
      <w:pPr>
        <w:pStyle w:val="null3"/>
      </w:pPr>
      <w:r>
        <w:rPr>
          <w:rFonts w:ascii="仿宋_GB2312" w:hAnsi="仿宋_GB2312" w:cs="仿宋_GB2312" w:eastAsia="仿宋_GB2312"/>
        </w:rPr>
        <w:t>11、具备履行合同所必需的设备和专业技术能力的证明：按磋商响应文件格式提供声明</w:t>
      </w:r>
    </w:p>
    <w:p>
      <w:pPr>
        <w:pStyle w:val="null3"/>
      </w:pPr>
      <w:r>
        <w:rPr>
          <w:rFonts w:ascii="仿宋_GB2312" w:hAnsi="仿宋_GB2312" w:cs="仿宋_GB2312" w:eastAsia="仿宋_GB2312"/>
        </w:rPr>
        <w:t>12、供应商关联关系：单位负责人为同一人或者存在直接控股、管理关系的不同投标供应商，不得参加同一合同项下的政府采购活动</w:t>
      </w:r>
    </w:p>
    <w:p>
      <w:pPr>
        <w:pStyle w:val="null3"/>
      </w:pPr>
      <w:r>
        <w:rPr>
          <w:rFonts w:ascii="仿宋_GB2312" w:hAnsi="仿宋_GB2312" w:cs="仿宋_GB2312" w:eastAsia="仿宋_GB2312"/>
        </w:rPr>
        <w:t>13、信誉要求：供应商应在投标截止日前未被列入失信被执行人、重大税收违法失信主体名单、政府采购严重违法失信行为记录名单（处罚期限届满的除外）（以“信用中国”网站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（www.creditchina.gov.cn）、中国政府采购网（www.ccgp.gov.cn）查询结果为准，提供网站截图并加盖投标供应商公章）</w:t>
      </w:r>
    </w:p>
    <w:p>
      <w:pPr>
        <w:pStyle w:val="null3"/>
      </w:pPr>
      <w:r>
        <w:rPr>
          <w:rFonts w:ascii="仿宋_GB2312" w:hAnsi="仿宋_GB2312" w:cs="仿宋_GB2312" w:eastAsia="仿宋_GB2312"/>
        </w:rPr>
        <w:t>14、非联合体投标声明：按磋商响应文件格式提供声明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西安市长安区子午街道办事处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长安区子午街道南街3号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西安市长安区子午街道办事处经办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18220548555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陕西恒业建设集团有限公司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陕西省西安市莲湖区北关正街 35 号方兴大厦 4 楼恒业集团</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卢佳坤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15202437903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采购包1：2,590,286.42元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开户名称：陕西恒业建设集团有限公司</w:t>
            </w:r>
          </w:p>
          <w:p>
            <w:pPr>
              <w:pStyle w:val="null3"/>
            </w:pPr>
            <w:r>
              <w:rPr>
                <w:rFonts w:ascii="仿宋_GB2312" w:hAnsi="仿宋_GB2312" w:cs="仿宋_GB2312" w:eastAsia="仿宋_GB2312"/>
              </w:rPr>
              <w:t>开户银行：西安银行高新支行</w:t>
            </w:r>
          </w:p>
          <w:p>
            <w:pPr>
              <w:pStyle w:val="null3"/>
            </w:pPr>
            <w:r>
              <w:rPr>
                <w:rFonts w:ascii="仿宋_GB2312" w:hAnsi="仿宋_GB2312" w:cs="仿宋_GB2312" w:eastAsia="仿宋_GB2312"/>
              </w:rPr>
              <w:t>银行账号：901011520000058888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代理服务费收费标准：1、成交服务费按约定由成交供应商支付，领取成交通知书前，由成交单位向采购代理机构缴纳成交服务费，一次性付清。 2、成交服务费参照国家计委关于印发《招标代理服务收费管理暂行办法》的通知（计价格〔2002〕1980号）、《国家发展和改革委员会办公厅关于招标代理服务收费有关问题的通知》（发改办价格〔2003〕857号）规定的费率标准计取，招标代理服务收费按差额定率累进法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西安市长安区子午街道办事处</w:t>
      </w:r>
      <w:r>
        <w:rPr>
          <w:rFonts w:ascii="仿宋_GB2312" w:hAnsi="仿宋_GB2312" w:cs="仿宋_GB2312" w:eastAsia="仿宋_GB2312"/>
        </w:rPr>
        <w:t>和</w:t>
      </w:r>
      <w:r>
        <w:rPr>
          <w:rFonts w:ascii="仿宋_GB2312" w:hAnsi="仿宋_GB2312" w:cs="仿宋_GB2312" w:eastAsia="仿宋_GB2312"/>
        </w:rPr>
        <w:t>陕西恒业建设集团有限公司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西安市长安区子午街道办事处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陕西恒业建设集团有限公司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西安市长安区子午街道办事处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陕西恒业建设集团有限公司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陕西恒业建设集团有限公司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陕西恒业建设集团有限公司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陕西恒业建设集团有限公司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联系人：卢佳坤</w:t>
      </w:r>
    </w:p>
    <w:p>
      <w:pPr>
        <w:pStyle w:val="null3"/>
      </w:pPr>
      <w:r>
        <w:rPr>
          <w:rFonts w:ascii="仿宋_GB2312" w:hAnsi="仿宋_GB2312" w:cs="仿宋_GB2312" w:eastAsia="仿宋_GB2312"/>
        </w:rPr>
        <w:t>联系电话：15202437903</w:t>
      </w:r>
    </w:p>
    <w:p>
      <w:pPr>
        <w:pStyle w:val="null3"/>
      </w:pPr>
      <w:r>
        <w:rPr>
          <w:rFonts w:ascii="仿宋_GB2312" w:hAnsi="仿宋_GB2312" w:cs="仿宋_GB2312" w:eastAsia="仿宋_GB2312"/>
        </w:rPr>
        <w:t>地址：陕西省西安市莲湖区北关正街35号方兴大厦4楼恒业集团</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2,590,286.42</w:t>
      </w:r>
    </w:p>
    <w:p>
      <w:pPr>
        <w:pStyle w:val="null3"/>
      </w:pPr>
      <w:r>
        <w:rPr>
          <w:rFonts w:ascii="仿宋_GB2312" w:hAnsi="仿宋_GB2312" w:cs="仿宋_GB2312" w:eastAsia="仿宋_GB2312"/>
        </w:rPr>
        <w:t>采购包最高限价（元）: 2,590,286.42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子午镇村农村供水保障项目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2,590,286.42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标的名称：子午镇村农村供水保障项目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本项目区位于西安市长安区子午街道办子午镇村，主要包含的建设内容有：（</w:t>
            </w:r>
            <w:r>
              <w:rPr>
                <w:rFonts w:ascii="仿宋_GB2312" w:hAnsi="仿宋_GB2312" w:cs="仿宋_GB2312" w:eastAsia="仿宋_GB2312"/>
                <w:sz w:val="28"/>
              </w:rPr>
              <w:t>1</w:t>
            </w:r>
            <w:r>
              <w:rPr>
                <w:rFonts w:ascii="仿宋_GB2312" w:hAnsi="仿宋_GB2312" w:cs="仿宋_GB2312" w:eastAsia="仿宋_GB2312"/>
                <w:sz w:val="28"/>
              </w:rPr>
              <w:t>）配水管道及其管道附属建筑物：铺设</w:t>
            </w:r>
            <w:r>
              <w:rPr>
                <w:rFonts w:ascii="仿宋_GB2312" w:hAnsi="仿宋_GB2312" w:cs="仿宋_GB2312" w:eastAsia="仿宋_GB2312"/>
                <w:sz w:val="28"/>
              </w:rPr>
              <w:t xml:space="preserve">PE100 </w:t>
            </w:r>
            <w:r>
              <w:rPr>
                <w:rFonts w:ascii="仿宋_GB2312" w:hAnsi="仿宋_GB2312" w:cs="仿宋_GB2312" w:eastAsia="仿宋_GB2312"/>
                <w:sz w:val="28"/>
              </w:rPr>
              <w:t>级</w:t>
            </w:r>
            <w:r>
              <w:rPr>
                <w:rFonts w:ascii="仿宋_GB2312" w:hAnsi="仿宋_GB2312" w:cs="仿宋_GB2312" w:eastAsia="仿宋_GB2312"/>
                <w:sz w:val="28"/>
              </w:rPr>
              <w:t>dn110</w:t>
            </w:r>
            <w:r>
              <w:rPr>
                <w:rFonts w:ascii="仿宋_GB2312" w:hAnsi="仿宋_GB2312" w:cs="仿宋_GB2312" w:eastAsia="仿宋_GB2312"/>
                <w:sz w:val="28"/>
              </w:rPr>
              <w:t>（</w:t>
            </w:r>
            <w:r>
              <w:rPr>
                <w:rFonts w:ascii="仿宋_GB2312" w:hAnsi="仿宋_GB2312" w:cs="仿宋_GB2312" w:eastAsia="仿宋_GB2312"/>
                <w:sz w:val="28"/>
              </w:rPr>
              <w:t>1.0MPa</w:t>
            </w:r>
            <w:r>
              <w:rPr>
                <w:rFonts w:ascii="仿宋_GB2312" w:hAnsi="仿宋_GB2312" w:cs="仿宋_GB2312" w:eastAsia="仿宋_GB2312"/>
                <w:sz w:val="28"/>
              </w:rPr>
              <w:t>）主管道长</w:t>
            </w:r>
            <w:r>
              <w:rPr>
                <w:rFonts w:ascii="仿宋_GB2312" w:hAnsi="仿宋_GB2312" w:cs="仿宋_GB2312" w:eastAsia="仿宋_GB2312"/>
                <w:sz w:val="28"/>
              </w:rPr>
              <w:t>570m</w:t>
            </w:r>
            <w:r>
              <w:rPr>
                <w:rFonts w:ascii="仿宋_GB2312" w:hAnsi="仿宋_GB2312" w:cs="仿宋_GB2312" w:eastAsia="仿宋_GB2312"/>
                <w:sz w:val="28"/>
              </w:rPr>
              <w:t>，铺设</w:t>
            </w:r>
            <w:r>
              <w:rPr>
                <w:rFonts w:ascii="仿宋_GB2312" w:hAnsi="仿宋_GB2312" w:cs="仿宋_GB2312" w:eastAsia="仿宋_GB2312"/>
                <w:sz w:val="28"/>
              </w:rPr>
              <w:t xml:space="preserve">PE100 </w:t>
            </w:r>
            <w:r>
              <w:rPr>
                <w:rFonts w:ascii="仿宋_GB2312" w:hAnsi="仿宋_GB2312" w:cs="仿宋_GB2312" w:eastAsia="仿宋_GB2312"/>
                <w:sz w:val="28"/>
              </w:rPr>
              <w:t>级</w:t>
            </w:r>
            <w:r>
              <w:rPr>
                <w:rFonts w:ascii="仿宋_GB2312" w:hAnsi="仿宋_GB2312" w:cs="仿宋_GB2312" w:eastAsia="仿宋_GB2312"/>
                <w:sz w:val="28"/>
              </w:rPr>
              <w:t>dn90</w:t>
            </w:r>
            <w:r>
              <w:rPr>
                <w:rFonts w:ascii="仿宋_GB2312" w:hAnsi="仿宋_GB2312" w:cs="仿宋_GB2312" w:eastAsia="仿宋_GB2312"/>
                <w:sz w:val="28"/>
              </w:rPr>
              <w:t>（</w:t>
            </w:r>
            <w:r>
              <w:rPr>
                <w:rFonts w:ascii="仿宋_GB2312" w:hAnsi="仿宋_GB2312" w:cs="仿宋_GB2312" w:eastAsia="仿宋_GB2312"/>
                <w:sz w:val="28"/>
              </w:rPr>
              <w:t>1.0MPa</w:t>
            </w:r>
            <w:r>
              <w:rPr>
                <w:rFonts w:ascii="仿宋_GB2312" w:hAnsi="仿宋_GB2312" w:cs="仿宋_GB2312" w:eastAsia="仿宋_GB2312"/>
                <w:sz w:val="28"/>
              </w:rPr>
              <w:t>）主管道长</w:t>
            </w:r>
            <w:r>
              <w:rPr>
                <w:rFonts w:ascii="仿宋_GB2312" w:hAnsi="仿宋_GB2312" w:cs="仿宋_GB2312" w:eastAsia="仿宋_GB2312"/>
                <w:sz w:val="28"/>
              </w:rPr>
              <w:t>314m</w:t>
            </w:r>
            <w:r>
              <w:rPr>
                <w:rFonts w:ascii="仿宋_GB2312" w:hAnsi="仿宋_GB2312" w:cs="仿宋_GB2312" w:eastAsia="仿宋_GB2312"/>
                <w:sz w:val="28"/>
              </w:rPr>
              <w:t>，铺设</w:t>
            </w:r>
            <w:r>
              <w:rPr>
                <w:rFonts w:ascii="仿宋_GB2312" w:hAnsi="仿宋_GB2312" w:cs="仿宋_GB2312" w:eastAsia="仿宋_GB2312"/>
                <w:sz w:val="28"/>
              </w:rPr>
              <w:t xml:space="preserve">PE100 </w:t>
            </w:r>
            <w:r>
              <w:rPr>
                <w:rFonts w:ascii="仿宋_GB2312" w:hAnsi="仿宋_GB2312" w:cs="仿宋_GB2312" w:eastAsia="仿宋_GB2312"/>
                <w:sz w:val="28"/>
              </w:rPr>
              <w:t>级</w:t>
            </w:r>
            <w:r>
              <w:rPr>
                <w:rFonts w:ascii="仿宋_GB2312" w:hAnsi="仿宋_GB2312" w:cs="仿宋_GB2312" w:eastAsia="仿宋_GB2312"/>
                <w:sz w:val="28"/>
              </w:rPr>
              <w:t>dn75</w:t>
            </w:r>
            <w:r>
              <w:rPr>
                <w:rFonts w:ascii="仿宋_GB2312" w:hAnsi="仿宋_GB2312" w:cs="仿宋_GB2312" w:eastAsia="仿宋_GB2312"/>
                <w:sz w:val="28"/>
              </w:rPr>
              <w:t>（</w:t>
            </w:r>
            <w:r>
              <w:rPr>
                <w:rFonts w:ascii="仿宋_GB2312" w:hAnsi="仿宋_GB2312" w:cs="仿宋_GB2312" w:eastAsia="仿宋_GB2312"/>
                <w:sz w:val="28"/>
              </w:rPr>
              <w:t>1.0MPa</w:t>
            </w:r>
            <w:r>
              <w:rPr>
                <w:rFonts w:ascii="仿宋_GB2312" w:hAnsi="仿宋_GB2312" w:cs="仿宋_GB2312" w:eastAsia="仿宋_GB2312"/>
                <w:sz w:val="28"/>
              </w:rPr>
              <w:t>）主管道长</w:t>
            </w:r>
            <w:r>
              <w:rPr>
                <w:rFonts w:ascii="仿宋_GB2312" w:hAnsi="仿宋_GB2312" w:cs="仿宋_GB2312" w:eastAsia="仿宋_GB2312"/>
                <w:sz w:val="28"/>
              </w:rPr>
              <w:t>1017m</w:t>
            </w:r>
            <w:r>
              <w:rPr>
                <w:rFonts w:ascii="仿宋_GB2312" w:hAnsi="仿宋_GB2312" w:cs="仿宋_GB2312" w:eastAsia="仿宋_GB2312"/>
                <w:sz w:val="28"/>
              </w:rPr>
              <w:t>，村内街道支线</w:t>
            </w:r>
            <w:r>
              <w:rPr>
                <w:rFonts w:ascii="仿宋_GB2312" w:hAnsi="仿宋_GB2312" w:cs="仿宋_GB2312" w:eastAsia="仿宋_GB2312"/>
                <w:sz w:val="28"/>
              </w:rPr>
              <w:t xml:space="preserve">PE100 </w:t>
            </w:r>
            <w:r>
              <w:rPr>
                <w:rFonts w:ascii="仿宋_GB2312" w:hAnsi="仿宋_GB2312" w:cs="仿宋_GB2312" w:eastAsia="仿宋_GB2312"/>
                <w:sz w:val="28"/>
              </w:rPr>
              <w:t>级</w:t>
            </w:r>
            <w:r>
              <w:rPr>
                <w:rFonts w:ascii="仿宋_GB2312" w:hAnsi="仿宋_GB2312" w:cs="仿宋_GB2312" w:eastAsia="仿宋_GB2312"/>
                <w:sz w:val="28"/>
              </w:rPr>
              <w:t>dn65</w:t>
            </w:r>
            <w:r>
              <w:rPr>
                <w:rFonts w:ascii="仿宋_GB2312" w:hAnsi="仿宋_GB2312" w:cs="仿宋_GB2312" w:eastAsia="仿宋_GB2312"/>
                <w:sz w:val="28"/>
              </w:rPr>
              <w:t>（</w:t>
            </w:r>
            <w:r>
              <w:rPr>
                <w:rFonts w:ascii="仿宋_GB2312" w:hAnsi="仿宋_GB2312" w:cs="仿宋_GB2312" w:eastAsia="仿宋_GB2312"/>
                <w:sz w:val="28"/>
              </w:rPr>
              <w:t>1.0MPa</w:t>
            </w:r>
            <w:r>
              <w:rPr>
                <w:rFonts w:ascii="仿宋_GB2312" w:hAnsi="仿宋_GB2312" w:cs="仿宋_GB2312" w:eastAsia="仿宋_GB2312"/>
                <w:sz w:val="28"/>
              </w:rPr>
              <w:t>）</w:t>
            </w:r>
            <w:r>
              <w:rPr>
                <w:rFonts w:ascii="仿宋_GB2312" w:hAnsi="仿宋_GB2312" w:cs="仿宋_GB2312" w:eastAsia="仿宋_GB2312"/>
                <w:sz w:val="28"/>
              </w:rPr>
              <w:t>641m</w:t>
            </w:r>
            <w:r>
              <w:rPr>
                <w:rFonts w:ascii="仿宋_GB2312" w:hAnsi="仿宋_GB2312" w:cs="仿宋_GB2312" w:eastAsia="仿宋_GB2312"/>
                <w:sz w:val="28"/>
              </w:rPr>
              <w:t>，</w:t>
            </w:r>
            <w:r>
              <w:rPr>
                <w:rFonts w:ascii="仿宋_GB2312" w:hAnsi="仿宋_GB2312" w:cs="仿宋_GB2312" w:eastAsia="仿宋_GB2312"/>
                <w:sz w:val="28"/>
              </w:rPr>
              <w:t xml:space="preserve">PE100 </w:t>
            </w:r>
            <w:r>
              <w:rPr>
                <w:rFonts w:ascii="仿宋_GB2312" w:hAnsi="仿宋_GB2312" w:cs="仿宋_GB2312" w:eastAsia="仿宋_GB2312"/>
                <w:sz w:val="28"/>
              </w:rPr>
              <w:t>级</w:t>
            </w:r>
            <w:r>
              <w:rPr>
                <w:rFonts w:ascii="仿宋_GB2312" w:hAnsi="仿宋_GB2312" w:cs="仿宋_GB2312" w:eastAsia="仿宋_GB2312"/>
                <w:sz w:val="28"/>
              </w:rPr>
              <w:t>dn50</w:t>
            </w:r>
            <w:r>
              <w:rPr>
                <w:rFonts w:ascii="仿宋_GB2312" w:hAnsi="仿宋_GB2312" w:cs="仿宋_GB2312" w:eastAsia="仿宋_GB2312"/>
                <w:sz w:val="28"/>
              </w:rPr>
              <w:t>（</w:t>
            </w:r>
            <w:r>
              <w:rPr>
                <w:rFonts w:ascii="仿宋_GB2312" w:hAnsi="仿宋_GB2312" w:cs="仿宋_GB2312" w:eastAsia="仿宋_GB2312"/>
                <w:sz w:val="28"/>
              </w:rPr>
              <w:t>1.0MPa</w:t>
            </w:r>
            <w:r>
              <w:rPr>
                <w:rFonts w:ascii="仿宋_GB2312" w:hAnsi="仿宋_GB2312" w:cs="仿宋_GB2312" w:eastAsia="仿宋_GB2312"/>
                <w:sz w:val="28"/>
              </w:rPr>
              <w:t>）</w:t>
            </w:r>
            <w:r>
              <w:rPr>
                <w:rFonts w:ascii="仿宋_GB2312" w:hAnsi="仿宋_GB2312" w:cs="仿宋_GB2312" w:eastAsia="仿宋_GB2312"/>
                <w:sz w:val="28"/>
              </w:rPr>
              <w:t>13611m</w:t>
            </w:r>
            <w:r>
              <w:rPr>
                <w:rFonts w:ascii="仿宋_GB2312" w:hAnsi="仿宋_GB2312" w:cs="仿宋_GB2312" w:eastAsia="仿宋_GB2312"/>
                <w:sz w:val="28"/>
              </w:rPr>
              <w:t>。新建闸阀井</w:t>
            </w:r>
            <w:r>
              <w:rPr>
                <w:rFonts w:ascii="仿宋_GB2312" w:hAnsi="仿宋_GB2312" w:cs="仿宋_GB2312" w:eastAsia="仿宋_GB2312"/>
                <w:sz w:val="28"/>
              </w:rPr>
              <w:t xml:space="preserve">70 </w:t>
            </w:r>
            <w:r>
              <w:rPr>
                <w:rFonts w:ascii="仿宋_GB2312" w:hAnsi="仿宋_GB2312" w:cs="仿宋_GB2312" w:eastAsia="仿宋_GB2312"/>
                <w:sz w:val="28"/>
              </w:rPr>
              <w:t>座，排气阀井</w:t>
            </w:r>
            <w:r>
              <w:rPr>
                <w:rFonts w:ascii="仿宋_GB2312" w:hAnsi="仿宋_GB2312" w:cs="仿宋_GB2312" w:eastAsia="仿宋_GB2312"/>
                <w:sz w:val="28"/>
              </w:rPr>
              <w:t xml:space="preserve">1 </w:t>
            </w:r>
            <w:r>
              <w:rPr>
                <w:rFonts w:ascii="仿宋_GB2312" w:hAnsi="仿宋_GB2312" w:cs="仿宋_GB2312" w:eastAsia="仿宋_GB2312"/>
                <w:sz w:val="28"/>
              </w:rPr>
              <w:t>座，排泥阀井</w:t>
            </w:r>
            <w:r>
              <w:rPr>
                <w:rFonts w:ascii="仿宋_GB2312" w:hAnsi="仿宋_GB2312" w:cs="仿宋_GB2312" w:eastAsia="仿宋_GB2312"/>
                <w:sz w:val="28"/>
              </w:rPr>
              <w:t xml:space="preserve">3 </w:t>
            </w:r>
            <w:r>
              <w:rPr>
                <w:rFonts w:ascii="仿宋_GB2312" w:hAnsi="仿宋_GB2312" w:cs="仿宋_GB2312" w:eastAsia="仿宋_GB2312"/>
                <w:sz w:val="28"/>
              </w:rPr>
              <w:t>座，湿井</w:t>
            </w:r>
            <w:r>
              <w:rPr>
                <w:rFonts w:ascii="仿宋_GB2312" w:hAnsi="仿宋_GB2312" w:cs="仿宋_GB2312" w:eastAsia="仿宋_GB2312"/>
                <w:sz w:val="28"/>
              </w:rPr>
              <w:t xml:space="preserve">3 </w:t>
            </w:r>
            <w:r>
              <w:rPr>
                <w:rFonts w:ascii="仿宋_GB2312" w:hAnsi="仿宋_GB2312" w:cs="仿宋_GB2312" w:eastAsia="仿宋_GB2312"/>
                <w:sz w:val="28"/>
              </w:rPr>
              <w:t>座。（</w:t>
            </w:r>
            <w:r>
              <w:rPr>
                <w:rFonts w:ascii="仿宋_GB2312" w:hAnsi="仿宋_GB2312" w:cs="仿宋_GB2312" w:eastAsia="仿宋_GB2312"/>
                <w:sz w:val="28"/>
              </w:rPr>
              <w:t>2</w:t>
            </w:r>
            <w:r>
              <w:rPr>
                <w:rFonts w:ascii="仿宋_GB2312" w:hAnsi="仿宋_GB2312" w:cs="仿宋_GB2312" w:eastAsia="仿宋_GB2312"/>
                <w:sz w:val="28"/>
              </w:rPr>
              <w:t>）入户工程：入户管道统一用</w:t>
            </w:r>
            <w:r>
              <w:rPr>
                <w:rFonts w:ascii="仿宋_GB2312" w:hAnsi="仿宋_GB2312" w:cs="仿宋_GB2312" w:eastAsia="仿宋_GB2312"/>
                <w:sz w:val="28"/>
              </w:rPr>
              <w:t xml:space="preserve">PE100 </w:t>
            </w:r>
            <w:r>
              <w:rPr>
                <w:rFonts w:ascii="仿宋_GB2312" w:hAnsi="仿宋_GB2312" w:cs="仿宋_GB2312" w:eastAsia="仿宋_GB2312"/>
                <w:sz w:val="28"/>
              </w:rPr>
              <w:t>级</w:t>
            </w:r>
            <w:r>
              <w:rPr>
                <w:rFonts w:ascii="仿宋_GB2312" w:hAnsi="仿宋_GB2312" w:cs="仿宋_GB2312" w:eastAsia="仿宋_GB2312"/>
                <w:sz w:val="28"/>
              </w:rPr>
              <w:t>dn25</w:t>
            </w:r>
            <w:r>
              <w:rPr>
                <w:rFonts w:ascii="仿宋_GB2312" w:hAnsi="仿宋_GB2312" w:cs="仿宋_GB2312" w:eastAsia="仿宋_GB2312"/>
                <w:sz w:val="28"/>
              </w:rPr>
              <w:t>（</w:t>
            </w:r>
            <w:r>
              <w:rPr>
                <w:rFonts w:ascii="仿宋_GB2312" w:hAnsi="仿宋_GB2312" w:cs="仿宋_GB2312" w:eastAsia="仿宋_GB2312"/>
                <w:sz w:val="28"/>
              </w:rPr>
              <w:t>1.0MPa</w:t>
            </w:r>
            <w:r>
              <w:rPr>
                <w:rFonts w:ascii="仿宋_GB2312" w:hAnsi="仿宋_GB2312" w:cs="仿宋_GB2312" w:eastAsia="仿宋_GB2312"/>
                <w:sz w:val="28"/>
              </w:rPr>
              <w:t>）（按每户</w:t>
            </w:r>
            <w:r>
              <w:rPr>
                <w:rFonts w:ascii="仿宋_GB2312" w:hAnsi="仿宋_GB2312" w:cs="仿宋_GB2312" w:eastAsia="仿宋_GB2312"/>
                <w:sz w:val="28"/>
              </w:rPr>
              <w:t xml:space="preserve">4m </w:t>
            </w:r>
            <w:r>
              <w:rPr>
                <w:rFonts w:ascii="仿宋_GB2312" w:hAnsi="仿宋_GB2312" w:cs="仿宋_GB2312" w:eastAsia="仿宋_GB2312"/>
                <w:sz w:val="28"/>
              </w:rPr>
              <w:t>计，长度</w:t>
            </w:r>
            <w:r>
              <w:rPr>
                <w:rFonts w:ascii="仿宋_GB2312" w:hAnsi="仿宋_GB2312" w:cs="仿宋_GB2312" w:eastAsia="仿宋_GB2312"/>
                <w:sz w:val="28"/>
              </w:rPr>
              <w:t>5956m</w:t>
            </w:r>
            <w:r>
              <w:rPr>
                <w:rFonts w:ascii="仿宋_GB2312" w:hAnsi="仿宋_GB2312" w:cs="仿宋_GB2312" w:eastAsia="仿宋_GB2312"/>
                <w:sz w:val="28"/>
              </w:rPr>
              <w:t>），水表井及水表则利用原有设施。总工期：180日历天。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总工期180日历天。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1、投标人不得超过最高限价，否则按照无效投标处理。本工程预算采用易投软件制作。 2、本工程招标限价由中标单位支付。造价服务费依据《陕西省物价局陕西省住房和城乡建设厅关于我省工程造价咨询服务收费标准有关问题的通知》（陕价行发〔2014〕88号）文件规定计取。造价服务费按照审定价计取。 公司名称：陕西龙辰全过程工程咨询有限公司 开户银行：西安银行股份有限公司星火路支行 账 号：708011580000269481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报表附注和财务状况说明书），②可提供2023或2024年度供应商完整的全套财务报表（应当包括资产负债表、利润表、现金流量表、所有者权益变动表、附注和财务状况说明书），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技术服务合同条款及其他商务要求应答表 响应函 强制优先采购产品承诺函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申请人合法有效的企事业法人、其他组织或自然人</w:t>
            </w:r>
          </w:p>
        </w:tc>
        <w:tc>
          <w:tcPr>
            <w:tcW w:type="dxa" w:w="3322"/>
          </w:tcPr>
          <w:p>
            <w:pPr>
              <w:pStyle w:val="null3"/>
            </w:pPr>
            <w:r>
              <w:rPr>
                <w:rFonts w:ascii="仿宋_GB2312" w:hAnsi="仿宋_GB2312" w:cs="仿宋_GB2312" w:eastAsia="仿宋_GB2312"/>
              </w:rPr>
              <w:t>供应商须具有独立承担民事责任能力的法人或其他组织，提供营业执照或事业单位法人证书，或自然人的身份证明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申请人法定代表人授权书</w:t>
            </w:r>
          </w:p>
        </w:tc>
        <w:tc>
          <w:tcPr>
            <w:tcW w:type="dxa" w:w="3322"/>
          </w:tcPr>
          <w:p>
            <w:pPr>
              <w:pStyle w:val="null3"/>
            </w:pPr>
            <w:r>
              <w:rPr>
                <w:rFonts w:ascii="仿宋_GB2312" w:hAnsi="仿宋_GB2312" w:cs="仿宋_GB2312" w:eastAsia="仿宋_GB2312"/>
              </w:rPr>
              <w:t>法定代表人参加投标，只须提供法定代表人证明书及身份证原件；法定代表人授权他人参加投标的，须提供法定代表人授权委托书、被授权人身份证复印件及原件</w:t>
            </w:r>
          </w:p>
        </w:tc>
        <w:tc>
          <w:tcPr>
            <w:tcW w:type="dxa" w:w="1661"/>
          </w:tcPr>
          <w:p>
            <w:pPr>
              <w:pStyle w:val="null3"/>
            </w:pPr>
            <w:r>
              <w:rPr>
                <w:rFonts w:ascii="仿宋_GB2312" w:hAnsi="仿宋_GB2312" w:cs="仿宋_GB2312" w:eastAsia="仿宋_GB2312"/>
              </w:rPr>
              <w:t>法定代表人身份证明及授权书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供应商具备建设行政主管部门核发的水利水电工程施工总承包三级（含三级）以上资质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供应商拟派项目经理具有水利水电工程专业注册建造师二级及以上执业资格，项目经理具有水行政主管部门颁发的安全生产考核合格证，且在本单位注册；须提供项目经理无在建工程的相关证明材料或承诺书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省外企业</w:t>
            </w:r>
          </w:p>
        </w:tc>
        <w:tc>
          <w:tcPr>
            <w:tcW w:type="dxa" w:w="3322"/>
          </w:tcPr>
          <w:p>
            <w:pPr>
              <w:pStyle w:val="null3"/>
            </w:pPr>
            <w:r>
              <w:rPr>
                <w:rFonts w:ascii="仿宋_GB2312" w:hAnsi="仿宋_GB2312" w:cs="仿宋_GB2312" w:eastAsia="仿宋_GB2312"/>
              </w:rPr>
              <w:t>省外企业需提供在陕西省建筑市场监管与诚信信息一体化平台上登记备案且备案信息有效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任意一年经审计的财务会计报告（包括审计报告、资产负债表、利润表、现金流量表、所有者权益变动表及其附注和财务状况说明书等资料，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供应商需提供2024年10月1日之今任意一个月的完税凭证或税务机关开具的完税证明（任意税种）；依法免税的应提供相关文件证明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供应商需提供投2024年10月1日之今任意一个月的社会保障资金缴存单据或社保机构开具的社会保险参保缴费情况证明；依法不需要缴纳社会保障资金的应提供相关文件证明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申请人近三年内，在经营活动中没有重大违法记录</w:t>
            </w:r>
          </w:p>
        </w:tc>
        <w:tc>
          <w:tcPr>
            <w:tcW w:type="dxa" w:w="3322"/>
          </w:tcPr>
          <w:p>
            <w:pPr>
              <w:pStyle w:val="null3"/>
            </w:pPr>
            <w:r>
              <w:rPr>
                <w:rFonts w:ascii="仿宋_GB2312" w:hAnsi="仿宋_GB2312" w:cs="仿宋_GB2312" w:eastAsia="仿宋_GB2312"/>
              </w:rPr>
              <w:t>按磋商响应文件格式提供声明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按磋商响应文件格式提供声明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单位负责人为同一人或者存在直接控股、管理关系的不同投标供应商，不得参加同一合同项下的政府采购活动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按磋商响应文件格式提供声明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文明施工措施及环境保护措施</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拟投入资源配备计划</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施工进度表与网络计划图</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施工总平面图布置</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提供2022年1月至今类似项目的业绩证明文件（以合同签定时间为准），提供一个得2分，此项最高得10 分。供应商响应文件中提供中标通知书和（或）合同协议书的复印件并加盖公章。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磋商基准价等于满足磋商文件要求且最终报价最低供应商的价格为磋商基准价。其价格分为满分。其余供应商响应报价得分统一按照以下公式计算： 磋商报价得分=(磋商基准价／最后磋商报价)×价格权值（30%）*100% 政策性加分执行磋商文件中的标准（本项目专门面向中小企业采购，供应商为中小企业价格不做调整） （若响应人投标价格超出预算或明显低于其他响应人报价与市场成本价,响应人不能提供合理证明的，将导致投标文件被否决。）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详见附件：法定代表人身份证明及授权书</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详见附件：合同附件-子午镇村农村供水保障项目.docx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