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版本号：HRC-ZBDL-2025-0136520251103002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西长安街道路拓宽郭北棚户区东街国有土地房屋拆迁项目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HRC-ZBDL-2025-01365</w:t>
      </w:r>
      <w:r>
        <w:br/>
      </w:r>
      <w:r>
        <w:br/>
      </w:r>
      <w:r>
        <w:br/>
      </w:r>
    </w:p>
    <w:p>
      <w:pPr>
        <w:pStyle w:val="null3"/>
        <w:jc w:val="center"/>
        <w:outlineLvl w:val="2"/>
      </w:pPr>
      <w:r>
        <w:rPr>
          <w:rFonts w:ascii="仿宋_GB2312" w:hAnsi="仿宋_GB2312" w:cs="仿宋_GB2312" w:eastAsia="仿宋_GB2312"/>
          <w:sz w:val="28"/>
          <w:b/>
        </w:rPr>
        <w:t>西安市长安区郭杜街道办事处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西安市长安区郭杜街道办事处</w:t>
      </w:r>
      <w:r>
        <w:rPr>
          <w:rFonts w:ascii="仿宋_GB2312" w:hAnsi="仿宋_GB2312" w:cs="仿宋_GB2312" w:eastAsia="仿宋_GB2312"/>
        </w:rPr>
        <w:t>委托，拟对</w:t>
      </w:r>
      <w:r>
        <w:rPr>
          <w:rFonts w:ascii="仿宋_GB2312" w:hAnsi="仿宋_GB2312" w:cs="仿宋_GB2312" w:eastAsia="仿宋_GB2312"/>
        </w:rPr>
        <w:t>西长安街道路拓宽郭北棚户区东街国有土地房屋拆迁项目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HRC-ZBDL-2025-01365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西长安街道路拓宽郭北棚户区东街国有土地房屋拆迁项目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该项目包括临街商铺、郭杜中心小学门房拆除、郭杜中心小学临街围墙拆除、郭杜中心小学新红线范围内门房修建和围墙砌筑及郭杜中心小学树木的移栽等。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采购包1（西长安街道路拓宽郭北棚户区东街国有土地房屋拆迁项目）：属于专门面向中小企业采购。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1、营业执照等主体资格证明文件：合法注册的法人应提供营业执照（或事业法人证）、组织机构代码证、税务登记证或统一社会信用代码的营业执照或其他组织应提供合法证明文件或自然人提供身份证件。</w:t>
      </w:r>
    </w:p>
    <w:p>
      <w:pPr>
        <w:pStyle w:val="null3"/>
      </w:pPr>
      <w:r>
        <w:rPr>
          <w:rFonts w:ascii="仿宋_GB2312" w:hAnsi="仿宋_GB2312" w:cs="仿宋_GB2312" w:eastAsia="仿宋_GB2312"/>
        </w:rPr>
        <w:t>2、财务状况报告：提供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4、社会保障资金缴纳证明：提供开标截止日前一年内已缴存的至少一个月的社会保障资金缴存单据或社保机构开具的社会保险参保缴费情况证明，依法不需要缴纳社会保障资金的单位应提供相关证明材料。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6、项目经理资质：拟派项目经理具备建筑工程专业二级或以上注册建造师证书和安全生产考核合格证（B证），在本单位注册且无在建项目（提供无在建项目承诺书）。</w:t>
      </w:r>
    </w:p>
    <w:p>
      <w:pPr>
        <w:pStyle w:val="null3"/>
      </w:pPr>
      <w:r>
        <w:rPr>
          <w:rFonts w:ascii="仿宋_GB2312" w:hAnsi="仿宋_GB2312" w:cs="仿宋_GB2312" w:eastAsia="仿宋_GB2312"/>
        </w:rPr>
        <w:t>7、法定代表人身份证明或法定代表人授权委托书：法定代表人直接参加投标的，须提供法定代表人身份证明；法定代表人授权代表参加投标的，须提供法定代表人授权委托书。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 （供应商可不提供，以代理机构现场查询为准）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郭杜东街45号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西安市长安区郭杜街道办事处经办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18681802917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采购包1：2,387,410.93元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办公厅关于招标代理服务收费有关问题的通知》(发改办价格(2003〕857号)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按磋商文件、磋商响应文件及澄清函等技术指标进行验收。各项指标均应符合验收标准及要求。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联系人：王琛</w:t>
      </w:r>
    </w:p>
    <w:p>
      <w:pPr>
        <w:pStyle w:val="null3"/>
      </w:pPr>
      <w:r>
        <w:rPr>
          <w:rFonts w:ascii="仿宋_GB2312" w:hAnsi="仿宋_GB2312" w:cs="仿宋_GB2312" w:eastAsia="仿宋_GB2312"/>
        </w:rPr>
        <w:t>联系电话：18681802917</w:t>
      </w:r>
    </w:p>
    <w:p>
      <w:pPr>
        <w:pStyle w:val="null3"/>
      </w:pPr>
      <w:r>
        <w:rPr>
          <w:rFonts w:ascii="仿宋_GB2312" w:hAnsi="仿宋_GB2312" w:cs="仿宋_GB2312" w:eastAsia="仿宋_GB2312"/>
        </w:rPr>
        <w:t>地址：西安市曲江新区雁翔路旺座曲江E座29层2901号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2,387,410.93</w:t>
      </w:r>
    </w:p>
    <w:p>
      <w:pPr>
        <w:pStyle w:val="null3"/>
      </w:pPr>
      <w:r>
        <w:rPr>
          <w:rFonts w:ascii="仿宋_GB2312" w:hAnsi="仿宋_GB2312" w:cs="仿宋_GB2312" w:eastAsia="仿宋_GB2312"/>
        </w:rPr>
        <w:t>采购包最高限价（元）: 2,387,410.93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西长安街道路拓宽郭北棚户区东街国有土地房屋拆迁项目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2,387,410.93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标的名称：西长安街道路拓宽郭北棚户区东街国有土地房屋拆迁项目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一、概况及实施范围</w:t>
            </w:r>
          </w:p>
          <w:p>
            <w:pPr>
              <w:pStyle w:val="null3"/>
              <w:spacing w:after="120"/>
              <w:jc w:val="both"/>
            </w:pPr>
            <w:r>
              <w:rPr>
                <w:rFonts w:ascii="仿宋_GB2312" w:hAnsi="仿宋_GB2312" w:cs="仿宋_GB2312" w:eastAsia="仿宋_GB2312"/>
              </w:rPr>
              <w:t>1、工程名称：</w:t>
            </w:r>
            <w:r>
              <w:rPr>
                <w:rFonts w:ascii="仿宋_GB2312" w:hAnsi="仿宋_GB2312" w:cs="仿宋_GB2312" w:eastAsia="仿宋_GB2312"/>
              </w:rPr>
              <w:t>西长安街道路拓宽郭北棚户区东街国有土地房屋拆迁项目</w:t>
            </w:r>
            <w:r>
              <w:rPr>
                <w:rFonts w:ascii="仿宋_GB2312" w:hAnsi="仿宋_GB2312" w:cs="仿宋_GB2312" w:eastAsia="仿宋_GB2312"/>
              </w:rPr>
              <w:t>；</w:t>
            </w:r>
          </w:p>
          <w:p>
            <w:pPr>
              <w:pStyle w:val="null3"/>
              <w:spacing w:after="120"/>
              <w:jc w:val="both"/>
            </w:pPr>
            <w:r>
              <w:rPr>
                <w:rFonts w:ascii="仿宋_GB2312" w:hAnsi="仿宋_GB2312" w:cs="仿宋_GB2312" w:eastAsia="仿宋_GB2312"/>
              </w:rPr>
              <w:t>2、工程内容：</w:t>
            </w:r>
            <w:r>
              <w:rPr>
                <w:rFonts w:ascii="仿宋_GB2312" w:hAnsi="仿宋_GB2312" w:cs="仿宋_GB2312" w:eastAsia="仿宋_GB2312"/>
              </w:rPr>
              <w:t>主要包括临街商铺、郭杜中心小学门房拆除、郭杜中心小学临街围墙拆除、郭杜中心小学新红线范围内门房修建和围墙砌筑及郭杜中心小学树木的移栽等</w:t>
            </w:r>
            <w:r>
              <w:rPr>
                <w:rFonts w:ascii="仿宋_GB2312" w:hAnsi="仿宋_GB2312" w:cs="仿宋_GB2312" w:eastAsia="仿宋_GB2312"/>
              </w:rPr>
              <w:t>。</w:t>
            </w:r>
          </w:p>
          <w:p>
            <w:pPr>
              <w:pStyle w:val="null3"/>
              <w:spacing w:after="120"/>
              <w:jc w:val="both"/>
            </w:pPr>
            <w:r>
              <w:rPr>
                <w:rFonts w:ascii="仿宋_GB2312" w:hAnsi="仿宋_GB2312" w:cs="仿宋_GB2312" w:eastAsia="仿宋_GB2312"/>
              </w:rPr>
              <w:t>3.工期：自合同签订之日起</w:t>
            </w:r>
            <w:r>
              <w:rPr>
                <w:rFonts w:ascii="仿宋_GB2312" w:hAnsi="仿宋_GB2312" w:cs="仿宋_GB2312" w:eastAsia="仿宋_GB2312"/>
              </w:rPr>
              <w:t>60</w:t>
            </w:r>
            <w:r>
              <w:rPr>
                <w:rFonts w:ascii="仿宋_GB2312" w:hAnsi="仿宋_GB2312" w:cs="仿宋_GB2312" w:eastAsia="仿宋_GB2312"/>
              </w:rPr>
              <w:t>个日历日。在双方商定的有效日历日内完成本项目，若遇不可抗拒因素，工期顺延。</w:t>
            </w:r>
          </w:p>
          <w:p>
            <w:pPr>
              <w:pStyle w:val="null3"/>
              <w:spacing w:after="120"/>
              <w:jc w:val="both"/>
            </w:pPr>
            <w:r>
              <w:rPr>
                <w:rFonts w:ascii="仿宋_GB2312" w:hAnsi="仿宋_GB2312" w:cs="仿宋_GB2312" w:eastAsia="仿宋_GB2312"/>
              </w:rPr>
              <w:t>4.地点：采购人指定地点。</w:t>
            </w:r>
          </w:p>
          <w:p>
            <w:pPr>
              <w:pStyle w:val="null3"/>
              <w:jc w:val="left"/>
            </w:pPr>
            <w:r>
              <w:rPr>
                <w:rFonts w:ascii="仿宋_GB2312" w:hAnsi="仿宋_GB2312" w:cs="仿宋_GB2312" w:eastAsia="仿宋_GB2312"/>
                <w:b/>
              </w:rPr>
              <w:t>二、执行的法律法规、技术规范</w:t>
            </w:r>
          </w:p>
          <w:p>
            <w:pPr>
              <w:pStyle w:val="null3"/>
              <w:jc w:val="both"/>
            </w:pPr>
            <w:r>
              <w:rPr>
                <w:rFonts w:ascii="仿宋_GB2312" w:hAnsi="仿宋_GB2312" w:cs="仿宋_GB2312" w:eastAsia="仿宋_GB2312"/>
              </w:rPr>
              <w:t>执行国家、省、市现行的相关规定及标准文件。</w:t>
            </w:r>
          </w:p>
          <w:p>
            <w:pPr>
              <w:pStyle w:val="null3"/>
              <w:jc w:val="both"/>
            </w:pPr>
            <w:r>
              <w:rPr>
                <w:rFonts w:ascii="仿宋_GB2312" w:hAnsi="仿宋_GB2312" w:cs="仿宋_GB2312" w:eastAsia="仿宋_GB2312"/>
              </w:rPr>
              <w:t>如有最新的法律法规、技术规范发布，按最新的文件执行。</w:t>
            </w:r>
          </w:p>
          <w:p>
            <w:pPr>
              <w:pStyle w:val="null3"/>
              <w:jc w:val="both"/>
            </w:pPr>
            <w:r>
              <w:rPr>
                <w:rFonts w:ascii="仿宋_GB2312" w:hAnsi="仿宋_GB2312" w:cs="仿宋_GB2312" w:eastAsia="仿宋_GB2312"/>
                <w:b/>
              </w:rPr>
              <w:t>三、质量标准</w:t>
            </w:r>
          </w:p>
          <w:p>
            <w:pPr>
              <w:pStyle w:val="null3"/>
              <w:jc w:val="both"/>
            </w:pPr>
            <w:r>
              <w:rPr>
                <w:rFonts w:ascii="仿宋_GB2312" w:hAnsi="仿宋_GB2312" w:cs="仿宋_GB2312" w:eastAsia="仿宋_GB2312"/>
              </w:rPr>
              <w:t>合格</w:t>
            </w:r>
          </w:p>
          <w:p>
            <w:pPr>
              <w:pStyle w:val="null3"/>
              <w:jc w:val="left"/>
            </w:pPr>
            <w:r>
              <w:rPr>
                <w:rFonts w:ascii="仿宋_GB2312" w:hAnsi="仿宋_GB2312" w:cs="仿宋_GB2312" w:eastAsia="仿宋_GB2312"/>
                <w:b/>
              </w:rPr>
              <w:t>四、工程量清单</w:t>
            </w:r>
          </w:p>
          <w:p>
            <w:pPr>
              <w:pStyle w:val="null3"/>
              <w:jc w:val="both"/>
            </w:pPr>
            <w:r>
              <w:rPr>
                <w:rFonts w:ascii="仿宋_GB2312" w:hAnsi="仿宋_GB2312" w:cs="仿宋_GB2312" w:eastAsia="仿宋_GB2312"/>
              </w:rPr>
              <w:t>详见清单附件。</w:t>
            </w:r>
          </w:p>
          <w:p>
            <w:pPr>
              <w:pStyle w:val="null3"/>
              <w:jc w:val="both"/>
            </w:pPr>
            <w:r>
              <w:rPr>
                <w:rFonts w:ascii="仿宋_GB2312" w:hAnsi="仿宋_GB2312" w:cs="仿宋_GB2312" w:eastAsia="仿宋_GB2312"/>
                <w:b/>
              </w:rPr>
              <w:t>五、其他</w:t>
            </w:r>
          </w:p>
          <w:p>
            <w:pPr>
              <w:pStyle w:val="null3"/>
              <w:jc w:val="both"/>
            </w:pPr>
            <w:r>
              <w:rPr>
                <w:rFonts w:ascii="仿宋_GB2312" w:hAnsi="仿宋_GB2312" w:cs="仿宋_GB2312" w:eastAsia="仿宋_GB2312"/>
              </w:rPr>
              <w:t>1、根据《西安市扬尘污染防治条例》本次工程应考虑治污减霾和降尘费用；</w:t>
            </w:r>
          </w:p>
          <w:p>
            <w:pPr>
              <w:pStyle w:val="null3"/>
              <w:jc w:val="both"/>
            </w:pPr>
            <w:r>
              <w:rPr>
                <w:rFonts w:ascii="仿宋_GB2312" w:hAnsi="仿宋_GB2312" w:cs="仿宋_GB2312" w:eastAsia="仿宋_GB2312"/>
              </w:rPr>
              <w:t>2、为保证施工现场的秩序及安全，降低施工影响，应新建临时围挡；</w:t>
            </w:r>
          </w:p>
          <w:p>
            <w:pPr>
              <w:pStyle w:val="null3"/>
              <w:jc w:val="both"/>
            </w:pPr>
            <w:r>
              <w:rPr>
                <w:rFonts w:ascii="仿宋_GB2312" w:hAnsi="仿宋_GB2312" w:cs="仿宋_GB2312" w:eastAsia="仿宋_GB2312"/>
              </w:rPr>
              <w:t>3、对可能发生的零星工程，应适当考虑相应机械台班；</w:t>
            </w:r>
          </w:p>
          <w:p>
            <w:pPr>
              <w:pStyle w:val="null3"/>
              <w:jc w:val="both"/>
            </w:pPr>
            <w:r>
              <w:rPr>
                <w:rFonts w:ascii="仿宋_GB2312" w:hAnsi="仿宋_GB2312" w:cs="仿宋_GB2312" w:eastAsia="仿宋_GB2312"/>
              </w:rPr>
              <w:t>4、因施</w:t>
            </w:r>
            <w:r>
              <w:rPr>
                <w:rFonts w:ascii="仿宋_GB2312" w:hAnsi="仿宋_GB2312" w:cs="仿宋_GB2312" w:eastAsia="仿宋_GB2312"/>
              </w:rPr>
              <w:t>工范围较大，为保证施工安全有序进行，应派驻专人看管现场。</w:t>
            </w:r>
          </w:p>
          <w:p>
            <w:pPr>
              <w:pStyle w:val="null3"/>
            </w:pPr>
            <w:r>
              <w:rPr>
                <w:rFonts w:ascii="仿宋_GB2312" w:hAnsi="仿宋_GB2312" w:cs="仿宋_GB2312" w:eastAsia="仿宋_GB2312"/>
              </w:rPr>
              <w:t>5、及时向采购人以书面形式汇报工程进度、工程量及安全情况。</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成交单位递交纸质文件（成交单位在领取中标通知书前将纸质版投标文件正本 1套、副本2 套打印盖章后提交至采购代理机构处，以便采购人进行留存备案等工作，成交单位应保持投标文件纸质版内容与电子版内容完全一致，否则将承担一切法律责任。纸质投标文件一律采用书籍(胶装)方式装订）。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拟派项目经理具备建筑工程专业二级或以上注册建造师证书和安全生产考核合格证（B证），在本单位注册且无在建项目（提供无在建项目承诺书）。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名单的供应商，不得为中国政府采购网（www.ccgp.gov.cn）政府采购“严重违法失信行为记录名单”中被财政部门禁止参加政府采购活动的供应商。 （供应商可不提供，以代理机构现场查询为准）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已标价工程量清单 中小企业声明函 商务条款响应偏离表.docx 资格证明文件.docx 技术条款响应偏离表.docx 响应方案.docx 响应文件封面 供应商认为需要提供的其他资料.docx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供应商提供已标价工程量清单</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供应商提供的名称、签章等信息与营业执照、资质证书等一致</w:t>
            </w:r>
          </w:p>
        </w:tc>
        <w:tc>
          <w:tcPr>
            <w:tcW w:type="dxa" w:w="1661"/>
          </w:tcPr>
          <w:p>
            <w:pPr>
              <w:pStyle w:val="null3"/>
            </w:pPr>
            <w:r>
              <w:rPr>
                <w:rFonts w:ascii="仿宋_GB2312" w:hAnsi="仿宋_GB2312" w:cs="仿宋_GB2312" w:eastAsia="仿宋_GB2312"/>
              </w:rPr>
              <w:t>已标价工程量清单 中小企业声明函 商务条款响应偏离表.docx 资格证明文件.docx 技术条款响应偏离表.docx 响应方案.docx 响应文件封面 供应商认为需要提供的其他资料.docx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（1）施工方案和方法全面、合理、规范，可操作性强得 13 分； （2）施工方案和方法比较合理和规范，有较强的可操作性得 10 分； （3）施工方案和方法相对合理和规范，有相对较强的可操作性得 8 分； （4）施工方案和方法基本合理，有一定的可操作性得 6 分； （5）施工方案和方法不太合理，可操作性不强得 4 分； （6）施工方案和方法有缺漏，可操作性差得 2 分； 未提供相关内容不得分。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（1）措施全面、合理、规范，可操作性强得 6 分； （2）措施比较合理和规范，有较强的可操作性得 5 分； （3）措施相对合理和规范，有相对较强的可操作性得 4 分； （4）措施基本合理，有一定的可操作性得 3 分； （5）措施不太合理，可操作性不强得 2 分； （6）措施有缺漏，可操作性差得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（1）措施全面、合理、规范，可操作性强得 6 分； （2）措施比较合理和规范，有较强的可操作性得 5 分； （3）措施相对合理和规范，有相对较强的可操作性得 4 分； （4）措施基本合理，有一定的可操作性得 3 分； （5）措施不太合理，可操作性不强得 2 分； （6）措施有缺漏，可操作性差得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（1）措施全面、合理、规范，可操作性强得 6 分； （2）措施比较合理和规范，有较强的可操作性得 5 分； （3）措施相对合理和规范，有相对较强的可操作性得 4 分； （4）措施基本合理，有一定的可操作性得 3 分； （5）措施不太合理，可操作性不强得 2 分； （6）措施有缺漏，可操作性差得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拟投入人员配置</w:t>
            </w:r>
          </w:p>
        </w:tc>
        <w:tc>
          <w:tcPr>
            <w:tcW w:type="dxa" w:w="2492"/>
          </w:tcPr>
          <w:p>
            <w:pPr>
              <w:pStyle w:val="null3"/>
            </w:pPr>
            <w:r>
              <w:rPr>
                <w:rFonts w:ascii="仿宋_GB2312" w:hAnsi="仿宋_GB2312" w:cs="仿宋_GB2312" w:eastAsia="仿宋_GB2312"/>
              </w:rPr>
              <w:t>（1）拟投入项目团队组成人员结构合理，人员配备齐全，管理人员经验丰富，能够完全满足项目的需求，得 6 分； （2）拟投入项目团队组成人员结构比较合理，人员配备比较齐全，管理人员经验比较丰富，得 5 分； （3）拟投入项目团队组成人员结构相对合理，人员配备相对齐全，管理人员经验相对丰富，得 4 分； （4）拟投入项目团队组成人员结构基本合理，人员配备基本齐全，管理人员有一定的经验，得 3 分； （5）拟投入项目团队组成人员结构有缺陷，人员配备缺失，管理人员经验不足，得 2 分； （6）拟投入项目团队组成人员结构不合理，人员配备缺失严重，得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 技术创新与工艺优化措施等，由磋商小组进行综合评审。 （1）措施全面、合理、规范，可操作性强得 6 分； （2）措施比较合理和规范，有较强的可操作性得 5 分； （3）措施相对合理和规范，有相对较强的可操作性得 4 分； （4）措施基本合理，有一定的可操作性得 3 分； （5）措施不太合理，可操作性不强得 2 分； （6）措施有缺漏，可操作性差得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（1）措施全面、合理、规范，可操作性强得 6 分； （2）措施比较合理和规范，有较强的可操作性得 5 分； （3）措施相对合理和规范，有相对较强的可操作性得 4 分； （4）措施基本合理，有一定的可操作性得 3 分； （5）措施不太合理，可操作性不强得 2 分； （6）措施有缺漏，可操作性差得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主要机具、设备配备方案</w:t>
            </w:r>
          </w:p>
        </w:tc>
        <w:tc>
          <w:tcPr>
            <w:tcW w:type="dxa" w:w="2492"/>
          </w:tcPr>
          <w:p>
            <w:pPr>
              <w:pStyle w:val="null3"/>
            </w:pPr>
            <w:r>
              <w:rPr>
                <w:rFonts w:ascii="仿宋_GB2312" w:hAnsi="仿宋_GB2312" w:cs="仿宋_GB2312" w:eastAsia="仿宋_GB2312"/>
              </w:rPr>
              <w:t>根据供应商提供的主要机械设备配备方案等，由磋商小组进行综合评审。 （1）方案全面、合理、规范，可操作性强得 6 分； （2）方案比较合理和规范，有较强的可操作性得 5 分； （3）方案相对合理和规范，有相对较强的可操作性得 4分； （4）方案基本合理，有一定的可操作性得 3 分； （5）方案不太合理，可操作性不强得 2 分； （6）方案有缺漏，可操作性差得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对项目实施过程中存在的问题及重点、难点进行分析，并提出解决方案。 （1）对重点、难点分析准确，解决方案针对性强的得 6 分； （2）对重点、难点分析较准确、提出的解决方案有一定的针对性和可行性的得 5 分； （3）对重点、难点分析相对准确，解决方案有一定的针对性和可行性得 4 分； （4）对重点、难点分析基本准确，解决方案有可行性，得 3 分； （5）对重点、难点分析与项目实际情况存在偏离，部分解决方案不够合理得 2 分； （6）对重点、难点有分析不准确，解决方案合理性、可行性有待考究得 1 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供应商应提供2022年1月起至投标截止日，承接过类似项目的业绩合同证明材料（以合同的签订日期为准，须提供合同复印件加盖公章）（每提供一个得3分，满分9分）。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