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版本号：XHZX-25-06720251030001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皂河、樊川公园二期管理运维服务项目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XHZX-25-067</w:t>
      </w:r>
      <w:r>
        <w:br/>
      </w:r>
      <w:r>
        <w:br/>
      </w:r>
      <w:r>
        <w:br/>
      </w:r>
    </w:p>
    <w:p>
      <w:pPr>
        <w:pStyle w:val="null3"/>
        <w:jc w:val="center"/>
        <w:outlineLvl w:val="2"/>
      </w:pPr>
      <w:r>
        <w:rPr>
          <w:rFonts w:ascii="仿宋_GB2312" w:hAnsi="仿宋_GB2312" w:cs="仿宋_GB2312" w:eastAsia="仿宋_GB2312"/>
          <w:sz w:val="28"/>
          <w:b/>
        </w:rPr>
        <w:t>西安市长安区水务局</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西安市长安区水务局</w:t>
      </w:r>
      <w:r>
        <w:rPr>
          <w:rFonts w:ascii="仿宋_GB2312" w:hAnsi="仿宋_GB2312" w:cs="仿宋_GB2312" w:eastAsia="仿宋_GB2312"/>
        </w:rPr>
        <w:t>委托，拟对</w:t>
      </w:r>
      <w:r>
        <w:rPr>
          <w:rFonts w:ascii="仿宋_GB2312" w:hAnsi="仿宋_GB2312" w:cs="仿宋_GB2312" w:eastAsia="仿宋_GB2312"/>
        </w:rPr>
        <w:t>皂河、樊川公园二期管理运维服务项目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XHZX-25-067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皂河、樊川公园二期管理运维服务项目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皂河、樊川公园二期管理运维服务项目，包括园区运维管理服务、环境卫生清洁维护、垃圾清运、河道水系清淤等日常管理、机电设备使用维护等。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采购包1（皂河、樊川公园二期管理运维服务项目）：属于专门面向中小企业采购。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pPr>
        <w:pStyle w:val="null3"/>
      </w:pPr>
      <w:r>
        <w:rPr>
          <w:rFonts w:ascii="仿宋_GB2312" w:hAnsi="仿宋_GB2312" w:cs="仿宋_GB2312" w:eastAsia="仿宋_GB2312"/>
        </w:rPr>
        <w:t>3、具有履行本合同所必需的设备和专业技术能力：提供具有履行合同所必需的设备和专业技术能力的承诺书。</w:t>
      </w:r>
    </w:p>
    <w:p>
      <w:pPr>
        <w:pStyle w:val="null3"/>
      </w:pPr>
      <w:r>
        <w:rPr>
          <w:rFonts w:ascii="仿宋_GB2312" w:hAnsi="仿宋_GB2312" w:cs="仿宋_GB2312" w:eastAsia="仿宋_GB2312"/>
        </w:rPr>
        <w:t>4、税收缴纳证明：提供缴费所属日期为投标截止时间前12个月内任意一个月（投标截止时间当月不计入）的增值税（或所得税）缴费凭据或税务机关出具的完税证明/在法规范围内不需提供的应出具书面说明和证明文件。</w:t>
      </w:r>
    </w:p>
    <w:p>
      <w:pPr>
        <w:pStyle w:val="null3"/>
      </w:pPr>
      <w:r>
        <w:rPr>
          <w:rFonts w:ascii="仿宋_GB2312" w:hAnsi="仿宋_GB2312" w:cs="仿宋_GB2312" w:eastAsia="仿宋_GB2312"/>
        </w:rPr>
        <w:t>5、社会保障资金缴纳证明：提供缴费所属日期为投标截止时间前12个月内任意一个月（投标截止时间当月不计入）的缴费凭据或社保机关出具的缴费证明/在法规范围内不需提供的应出具书面说明和证明文件。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7、合法授权：投标人应授权合法的人员参加投标，其中法定代表人直接参加的须出具法定代表人身份证并与营业执照上信息一致，法定代表人授权代表参加的须出具法定代表人授权书。</w:t>
      </w:r>
    </w:p>
    <w:p>
      <w:pPr>
        <w:pStyle w:val="null3"/>
      </w:pPr>
      <w:r>
        <w:rPr>
          <w:rFonts w:ascii="仿宋_GB2312" w:hAnsi="仿宋_GB2312" w:cs="仿宋_GB2312" w:eastAsia="仿宋_GB2312"/>
        </w:rPr>
        <w:t>8、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029-85295582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关于降低部分建设项目收费标准规范收费行为等有关问题的通知》（发改价格【2011】534号）和国家计委关于《招标代理服务收费管理暂行办法》（计价格[2002]1980号）的有关规定，以项目实际中标金额为基数计算招标代理服务费，中标单位的招标代理服务费交纳信息银行户名：信宏工程咨询有限公司开户行：中国银行股份有限公司西安大兴新区支行账号：102877787530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西安市长安区水务局</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西安市长安区水务局</w:t>
      </w:r>
      <w:r>
        <w:rPr>
          <w:rFonts w:ascii="仿宋_GB2312" w:hAnsi="仿宋_GB2312" w:cs="仿宋_GB2312" w:eastAsia="仿宋_GB2312"/>
        </w:rPr>
        <w:t>负责解释。除上述招标文件内容，其他内容由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各项具体工作的质量标准和作业规范，符合国家法律法规的规定与相关技术标准。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联系人：万仕彬、耿萍、黄菲、田丰原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皂河、樊川公园二期管理运维服务项目，包括园区运维管理服务、环境卫生清洁维护、垃圾清运、河道水系清淤等日常管理、机电设备使用维护等。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19,570,000.00</w:t>
      </w:r>
    </w:p>
    <w:p>
      <w:pPr>
        <w:pStyle w:val="null3"/>
      </w:pPr>
      <w:r>
        <w:rPr>
          <w:rFonts w:ascii="仿宋_GB2312" w:hAnsi="仿宋_GB2312" w:cs="仿宋_GB2312" w:eastAsia="仿宋_GB2312"/>
        </w:rPr>
        <w:t>采购包最高限价（元）: 19,570,000.00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皂河、樊川公园二期管理运维服务项目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标的名称：皂河、樊川公园二期管理运维服务项目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95"/>
              <w:ind w:right="45" w:firstLine="469"/>
              <w:jc w:val="both"/>
            </w:pPr>
            <w:r>
              <w:rPr>
                <w:rFonts w:ascii="仿宋_GB2312" w:hAnsi="仿宋_GB2312" w:cs="仿宋_GB2312" w:eastAsia="仿宋_GB2312"/>
                <w:sz w:val="24"/>
              </w:rPr>
              <w:t>本次管理运维范围包括：皂河</w:t>
            </w:r>
            <w:r>
              <w:rPr>
                <w:rFonts w:ascii="仿宋_GB2312" w:hAnsi="仿宋_GB2312" w:cs="仿宋_GB2312" w:eastAsia="仿宋_GB2312"/>
                <w:sz w:val="24"/>
              </w:rPr>
              <w:t>(少陵公园段、长安中央公园段)</w:t>
            </w:r>
            <w:r>
              <w:rPr>
                <w:rFonts w:ascii="仿宋_GB2312" w:hAnsi="仿宋_GB2312" w:cs="仿宋_GB2312" w:eastAsia="仿宋_GB2312"/>
                <w:sz w:val="24"/>
              </w:rPr>
              <w:t>总面积</w:t>
            </w:r>
            <w:r>
              <w:rPr>
                <w:rFonts w:ascii="仿宋_GB2312" w:hAnsi="仿宋_GB2312" w:cs="仿宋_GB2312" w:eastAsia="仿宋_GB2312"/>
                <w:sz w:val="24"/>
              </w:rPr>
              <w:t>38.97万平方米；3.1</w:t>
            </w:r>
            <w:r>
              <w:rPr>
                <w:rFonts w:ascii="仿宋_GB2312" w:hAnsi="仿宋_GB2312" w:cs="仿宋_GB2312" w:eastAsia="仿宋_GB2312"/>
                <w:sz w:val="24"/>
              </w:rPr>
              <w:t>公里河道、</w:t>
            </w:r>
            <w:r>
              <w:rPr>
                <w:rFonts w:ascii="仿宋_GB2312" w:hAnsi="仿宋_GB2312" w:cs="仿宋_GB2312" w:eastAsia="仿宋_GB2312"/>
                <w:sz w:val="24"/>
              </w:rPr>
              <w:t>1.1公里河道、1.2公里河道总面积26.63万平方米；潏河樊川公园二期(二期及延伸段)总面积27.34万平方米；长约 5.1km引水管线(DN600球墨铸铁管)的管理维护。</w:t>
            </w:r>
          </w:p>
          <w:p>
            <w:pPr>
              <w:pStyle w:val="null3"/>
              <w:spacing w:before="15"/>
              <w:ind w:firstLine="469"/>
              <w:jc w:val="both"/>
            </w:pPr>
            <w:r>
              <w:rPr>
                <w:rFonts w:ascii="仿宋_GB2312" w:hAnsi="仿宋_GB2312" w:cs="仿宋_GB2312" w:eastAsia="仿宋_GB2312"/>
                <w:sz w:val="24"/>
              </w:rPr>
              <w:t>1、皂河主要包括：3.1公里河道和6个口袋公园、少陵公园、1.1公里河道、1.2公里河道、</w:t>
            </w:r>
            <w:r>
              <w:rPr>
                <w:rFonts w:ascii="仿宋_GB2312" w:hAnsi="仿宋_GB2312" w:cs="仿宋_GB2312" w:eastAsia="仿宋_GB2312"/>
                <w:sz w:val="24"/>
              </w:rPr>
              <w:t>中央公园；皂河</w:t>
            </w:r>
            <w:r>
              <w:rPr>
                <w:rFonts w:ascii="仿宋_GB2312" w:hAnsi="仿宋_GB2312" w:cs="仿宋_GB2312" w:eastAsia="仿宋_GB2312"/>
                <w:sz w:val="24"/>
              </w:rPr>
              <w:t>(长安中央公园段)水域清淤每年4次；中央公园南段停车场</w:t>
            </w:r>
            <w:r>
              <w:rPr>
                <w:rFonts w:ascii="仿宋_GB2312" w:hAnsi="仿宋_GB2312" w:cs="仿宋_GB2312" w:eastAsia="仿宋_GB2312"/>
                <w:sz w:val="24"/>
              </w:rPr>
              <w:t>车位租赁费</w:t>
            </w:r>
            <w:r>
              <w:rPr>
                <w:rFonts w:ascii="仿宋_GB2312" w:hAnsi="仿宋_GB2312" w:cs="仿宋_GB2312" w:eastAsia="仿宋_GB2312"/>
                <w:sz w:val="24"/>
              </w:rPr>
              <w:t>18万/</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费用另行支付</w:t>
            </w:r>
            <w:r>
              <w:rPr>
                <w:rFonts w:ascii="仿宋_GB2312" w:hAnsi="仿宋_GB2312" w:cs="仿宋_GB2312" w:eastAsia="仿宋_GB2312"/>
                <w:sz w:val="24"/>
              </w:rPr>
              <w:t>）。</w:t>
            </w:r>
          </w:p>
          <w:p>
            <w:pPr>
              <w:pStyle w:val="null3"/>
              <w:ind w:right="45" w:firstLine="469"/>
              <w:jc w:val="both"/>
            </w:pPr>
            <w:r>
              <w:rPr>
                <w:rFonts w:ascii="仿宋_GB2312" w:hAnsi="仿宋_GB2312" w:cs="仿宋_GB2312" w:eastAsia="仿宋_GB2312"/>
                <w:sz w:val="24"/>
              </w:rPr>
              <w:t>其中，</w:t>
            </w:r>
            <w:r>
              <w:rPr>
                <w:rFonts w:ascii="仿宋_GB2312" w:hAnsi="仿宋_GB2312" w:cs="仿宋_GB2312" w:eastAsia="仿宋_GB2312"/>
                <w:sz w:val="24"/>
              </w:rPr>
              <w:t>1.1公里河道</w:t>
            </w:r>
            <w:r>
              <w:rPr>
                <w:rFonts w:ascii="仿宋_GB2312" w:hAnsi="仿宋_GB2312" w:cs="仿宋_GB2312" w:eastAsia="仿宋_GB2312"/>
                <w:sz w:val="24"/>
              </w:rPr>
              <w:t>，</w:t>
            </w:r>
            <w:r>
              <w:rPr>
                <w:rFonts w:ascii="仿宋_GB2312" w:hAnsi="仿宋_GB2312" w:cs="仿宋_GB2312" w:eastAsia="仿宋_GB2312"/>
                <w:sz w:val="24"/>
              </w:rPr>
              <w:t>1.2公里河道主要包括灯带、石材、玻璃栏杆、液压坝管护、水体保</w:t>
            </w:r>
            <w:r>
              <w:rPr>
                <w:rFonts w:ascii="仿宋_GB2312" w:hAnsi="仿宋_GB2312" w:cs="仿宋_GB2312" w:eastAsia="仿宋_GB2312"/>
                <w:sz w:val="24"/>
              </w:rPr>
              <w:t>洁等。中央公园主要包括，北区：西部大道及儿童乐园</w:t>
            </w:r>
            <w:r>
              <w:rPr>
                <w:rFonts w:ascii="仿宋_GB2312" w:hAnsi="仿宋_GB2312" w:cs="仿宋_GB2312" w:eastAsia="仿宋_GB2312"/>
                <w:sz w:val="24"/>
              </w:rPr>
              <w:t>2</w:t>
            </w:r>
            <w:r>
              <w:rPr>
                <w:rFonts w:ascii="仿宋_GB2312" w:hAnsi="仿宋_GB2312" w:cs="仿宋_GB2312" w:eastAsia="仿宋_GB2312"/>
                <w:sz w:val="24"/>
              </w:rPr>
              <w:t>个公厕、管理用房等；中区：</w:t>
            </w:r>
            <w:r>
              <w:rPr>
                <w:rFonts w:ascii="仿宋_GB2312" w:hAnsi="仿宋_GB2312" w:cs="仿宋_GB2312" w:eastAsia="仿宋_GB2312"/>
                <w:sz w:val="24"/>
              </w:rPr>
              <w:t>1、2号公</w:t>
            </w:r>
            <w:r>
              <w:rPr>
                <w:rFonts w:ascii="仿宋_GB2312" w:hAnsi="仿宋_GB2312" w:cs="仿宋_GB2312" w:eastAsia="仿宋_GB2312"/>
                <w:sz w:val="24"/>
              </w:rPr>
              <w:t>共服务建筑外围卫生、水池、鱼缸、喷泉清理维护等；</w:t>
            </w:r>
            <w:r>
              <w:rPr>
                <w:rFonts w:ascii="仿宋_GB2312" w:hAnsi="仿宋_GB2312" w:cs="仿宋_GB2312" w:eastAsia="仿宋_GB2312"/>
                <w:sz w:val="24"/>
              </w:rPr>
              <w:t>南区：音乐泉、公厕、运动场所等。</w:t>
            </w:r>
          </w:p>
          <w:p>
            <w:pPr>
              <w:pStyle w:val="null3"/>
              <w:spacing w:before="15"/>
              <w:ind w:right="45" w:firstLine="469"/>
              <w:jc w:val="both"/>
            </w:pPr>
            <w:r>
              <w:rPr>
                <w:rFonts w:ascii="仿宋_GB2312" w:hAnsi="仿宋_GB2312" w:cs="仿宋_GB2312" w:eastAsia="仿宋_GB2312"/>
                <w:sz w:val="24"/>
              </w:rPr>
              <w:t>2、樊川公园二期主要包括：沙滩、公共用房、公厕、集装箱</w:t>
            </w:r>
            <w:r>
              <w:rPr>
                <w:rFonts w:ascii="仿宋_GB2312" w:hAnsi="仿宋_GB2312" w:cs="仿宋_GB2312" w:eastAsia="仿宋_GB2312"/>
                <w:sz w:val="24"/>
              </w:rPr>
              <w:t>、绿化区域、乔木、灌木等范</w:t>
            </w:r>
            <w:r>
              <w:rPr>
                <w:rFonts w:ascii="仿宋_GB2312" w:hAnsi="仿宋_GB2312" w:cs="仿宋_GB2312" w:eastAsia="仿宋_GB2312"/>
                <w:sz w:val="24"/>
              </w:rPr>
              <w:t>围内保洁。</w:t>
            </w:r>
          </w:p>
          <w:p>
            <w:pPr>
              <w:pStyle w:val="null3"/>
              <w:spacing w:before="180"/>
              <w:ind w:right="60" w:firstLine="469"/>
              <w:jc w:val="both"/>
            </w:pPr>
            <w:r>
              <w:rPr>
                <w:rFonts w:ascii="仿宋_GB2312" w:hAnsi="仿宋_GB2312" w:cs="仿宋_GB2312" w:eastAsia="仿宋_GB2312"/>
                <w:sz w:val="24"/>
              </w:rPr>
              <w:t>3、引水管线的管理维护。引水管线主要包括长安区皂河水源补给工程管线，包含管道、</w:t>
            </w:r>
            <w:r>
              <w:rPr>
                <w:rFonts w:ascii="仿宋_GB2312" w:hAnsi="仿宋_GB2312" w:cs="仿宋_GB2312" w:eastAsia="仿宋_GB2312"/>
                <w:sz w:val="24"/>
              </w:rPr>
              <w:t>阀门、检查井、阀门井等，其起点位于航天南路与包</w:t>
            </w:r>
            <w:r>
              <w:rPr>
                <w:rFonts w:ascii="仿宋_GB2312" w:hAnsi="仿宋_GB2312" w:cs="仿宋_GB2312" w:eastAsia="仿宋_GB2312"/>
                <w:sz w:val="24"/>
              </w:rPr>
              <w:t>茂高速交叉点，终点位于局连村附近的皂河源头，全长</w:t>
            </w:r>
            <w:r>
              <w:rPr>
                <w:rFonts w:ascii="仿宋_GB2312" w:hAnsi="仿宋_GB2312" w:cs="仿宋_GB2312" w:eastAsia="仿宋_GB2312"/>
                <w:sz w:val="24"/>
              </w:rPr>
              <w:t>5.1</w:t>
            </w:r>
            <w:r>
              <w:rPr>
                <w:rFonts w:ascii="仿宋_GB2312" w:hAnsi="仿宋_GB2312" w:cs="仿宋_GB2312" w:eastAsia="仿宋_GB2312"/>
                <w:sz w:val="24"/>
              </w:rPr>
              <w:t>km</w:t>
            </w:r>
            <w:r>
              <w:rPr>
                <w:rFonts w:ascii="仿宋_GB2312" w:hAnsi="仿宋_GB2312" w:cs="仿宋_GB2312" w:eastAsia="仿宋_GB2312"/>
                <w:sz w:val="24"/>
              </w:rPr>
              <w:t>,管径为</w:t>
            </w:r>
            <w:r>
              <w:rPr>
                <w:rFonts w:ascii="仿宋_GB2312" w:hAnsi="仿宋_GB2312" w:cs="仿宋_GB2312" w:eastAsia="仿宋_GB2312"/>
                <w:sz w:val="24"/>
              </w:rPr>
              <w:t>DN</w:t>
            </w:r>
            <w:r>
              <w:rPr>
                <w:rFonts w:ascii="仿宋_GB2312" w:hAnsi="仿宋_GB2312" w:cs="仿宋_GB2312" w:eastAsia="仿宋_GB2312"/>
                <w:sz w:val="24"/>
              </w:rPr>
              <w:t>600,材质为球墨铸铁管。</w:t>
            </w:r>
          </w:p>
          <w:p>
            <w:pPr>
              <w:pStyle w:val="null3"/>
              <w:spacing w:before="285"/>
              <w:ind w:left="465"/>
              <w:jc w:val="both"/>
            </w:pPr>
            <w:r>
              <w:rPr>
                <w:rFonts w:ascii="仿宋_GB2312" w:hAnsi="仿宋_GB2312" w:cs="仿宋_GB2312" w:eastAsia="仿宋_GB2312"/>
                <w:sz w:val="24"/>
              </w:rPr>
              <w:t>4、中央公园、少陵公园及樊川公园二期复耕，</w:t>
            </w:r>
            <w:r>
              <w:rPr>
                <w:rFonts w:ascii="仿宋_GB2312" w:hAnsi="仿宋_GB2312" w:cs="仿宋_GB2312" w:eastAsia="仿宋_GB2312"/>
                <w:sz w:val="24"/>
              </w:rPr>
              <w:t>复植</w:t>
            </w:r>
            <w:r>
              <w:rPr>
                <w:rFonts w:ascii="仿宋_GB2312" w:hAnsi="仿宋_GB2312" w:cs="仿宋_GB2312" w:eastAsia="仿宋_GB2312"/>
                <w:sz w:val="24"/>
              </w:rPr>
              <w:t>。</w:t>
            </w:r>
          </w:p>
          <w:p>
            <w:pPr>
              <w:pStyle w:val="null3"/>
              <w:spacing w:before="150"/>
              <w:ind w:right="60" w:firstLine="469"/>
              <w:jc w:val="both"/>
            </w:pPr>
            <w:r>
              <w:rPr>
                <w:rFonts w:ascii="仿宋_GB2312" w:hAnsi="仿宋_GB2312" w:cs="仿宋_GB2312" w:eastAsia="仿宋_GB2312"/>
                <w:sz w:val="24"/>
              </w:rPr>
              <w:t>5、</w:t>
            </w:r>
            <w:r>
              <w:rPr>
                <w:rFonts w:ascii="仿宋_GB2312" w:hAnsi="仿宋_GB2312" w:cs="仿宋_GB2312" w:eastAsia="仿宋_GB2312"/>
                <w:sz w:val="24"/>
              </w:rPr>
              <w:t>在防汛期间，服从水务局和有关部门的安排，配合做好皂河长安段防汛工作，为防汛提供必要的人力资源、物资与装、通信与信息等。</w:t>
            </w:r>
          </w:p>
          <w:p>
            <w:pPr>
              <w:pStyle w:val="null3"/>
              <w:spacing w:before="135"/>
              <w:ind w:right="75" w:firstLine="469"/>
              <w:jc w:val="both"/>
            </w:pPr>
            <w:r>
              <w:rPr>
                <w:rFonts w:ascii="仿宋_GB2312" w:hAnsi="仿宋_GB2312" w:cs="仿宋_GB2312" w:eastAsia="仿宋_GB2312"/>
                <w:sz w:val="24"/>
              </w:rPr>
              <w:t>6、保证园区内道路通畅、路面平整</w:t>
            </w:r>
            <w:r>
              <w:rPr>
                <w:rFonts w:ascii="仿宋_GB2312" w:hAnsi="仿宋_GB2312" w:cs="仿宋_GB2312" w:eastAsia="仿宋_GB2312"/>
                <w:sz w:val="24"/>
              </w:rPr>
              <w:t>、</w:t>
            </w:r>
            <w:r>
              <w:rPr>
                <w:rFonts w:ascii="仿宋_GB2312" w:hAnsi="仿宋_GB2312" w:cs="仿宋_GB2312" w:eastAsia="仿宋_GB2312"/>
                <w:sz w:val="24"/>
              </w:rPr>
              <w:t>路边设施</w:t>
            </w:r>
            <w:r>
              <w:rPr>
                <w:rFonts w:ascii="仿宋_GB2312" w:hAnsi="仿宋_GB2312" w:cs="仿宋_GB2312" w:eastAsia="仿宋_GB2312"/>
                <w:sz w:val="24"/>
              </w:rPr>
              <w:t>(含栈道构件)无损坏，如有损坏应及时</w:t>
            </w:r>
            <w:r>
              <w:rPr>
                <w:rFonts w:ascii="仿宋_GB2312" w:hAnsi="仿宋_GB2312" w:cs="仿宋_GB2312" w:eastAsia="仿宋_GB2312"/>
                <w:sz w:val="24"/>
              </w:rPr>
              <w:t>修补。</w:t>
            </w:r>
          </w:p>
          <w:p>
            <w:pPr>
              <w:pStyle w:val="null3"/>
              <w:spacing w:before="180"/>
              <w:ind w:right="75" w:firstLine="469"/>
              <w:jc w:val="both"/>
            </w:pPr>
            <w:r>
              <w:rPr>
                <w:rFonts w:ascii="仿宋_GB2312" w:hAnsi="仿宋_GB2312" w:cs="仿宋_GB2312" w:eastAsia="仿宋_GB2312"/>
                <w:sz w:val="24"/>
              </w:rPr>
              <w:t>7、监察区域内的外来单位施工，尽量杜绝违法违章施工和非施工作业审批范围以外的公</w:t>
            </w:r>
            <w:r>
              <w:rPr>
                <w:rFonts w:ascii="仿宋_GB2312" w:hAnsi="仿宋_GB2312" w:cs="仿宋_GB2312" w:eastAsia="仿宋_GB2312"/>
                <w:sz w:val="24"/>
              </w:rPr>
              <w:t>共场地及设施的破坏。</w:t>
            </w:r>
          </w:p>
          <w:p>
            <w:pPr>
              <w:pStyle w:val="null3"/>
              <w:spacing w:before="180"/>
              <w:ind w:right="75" w:firstLine="469"/>
              <w:jc w:val="both"/>
            </w:pPr>
            <w:r>
              <w:rPr>
                <w:rFonts w:ascii="仿宋_GB2312" w:hAnsi="仿宋_GB2312" w:cs="仿宋_GB2312" w:eastAsia="仿宋_GB2312"/>
                <w:sz w:val="24"/>
              </w:rPr>
              <w:t>8、注意事项：服务区域范围内的河道水面杂物清理、卫生保洁、绿化服务、安全工作、秩序维护、工程设施设备维修维护等一切工作均属于供应商服务的范畴。</w:t>
            </w:r>
          </w:p>
          <w:p>
            <w:pPr>
              <w:pStyle w:val="null3"/>
              <w:spacing w:before="180"/>
              <w:ind w:right="75" w:firstLine="469"/>
              <w:jc w:val="both"/>
            </w:pPr>
            <w:r>
              <w:rPr>
                <w:rFonts w:ascii="仿宋_GB2312" w:hAnsi="仿宋_GB2312" w:cs="仿宋_GB2312" w:eastAsia="仿宋_GB2312"/>
                <w:sz w:val="24"/>
              </w:rPr>
              <w:t>9、自然灾害等不可抗力因素引起的河堤垮塌及水毁等，不在本次采购服务范围内，由采购人另行委托修复。</w:t>
            </w:r>
          </w:p>
          <w:p>
            <w:pPr>
              <w:pStyle w:val="null3"/>
              <w:spacing w:before="30"/>
              <w:ind w:firstLine="1365"/>
              <w:jc w:val="both"/>
            </w:pPr>
            <w:r>
              <w:rPr>
                <w:rFonts w:ascii="仿宋_GB2312" w:hAnsi="仿宋_GB2312" w:cs="仿宋_GB2312" w:eastAsia="仿宋_GB2312"/>
                <w:sz w:val="24"/>
                <w:b/>
              </w:rPr>
              <w:t>皂河、樊川公园二期管理运维服务项目范围</w:t>
            </w:r>
          </w:p>
          <w:tbl>
            <w:tblPr>
              <w:tblInd w:type="dxa" w:w="135"/>
              <w:tblBorders>
                <w:top w:val="none" w:color="000000" w:sz="4"/>
                <w:left w:val="none" w:color="000000" w:sz="4"/>
                <w:bottom w:val="none" w:color="000000" w:sz="4"/>
                <w:right w:val="none" w:color="000000" w:sz="4"/>
                <w:insideH w:val="none"/>
                <w:insideV w:val="none"/>
              </w:tblBorders>
            </w:tblPr>
            <w:tblGrid>
              <w:gridCol w:w="214"/>
              <w:gridCol w:w="618"/>
              <w:gridCol w:w="244"/>
              <w:gridCol w:w="498"/>
              <w:gridCol w:w="967"/>
            </w:tblGrid>
            <w:tr>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50"/>
                  </w:pPr>
                  <w:r>
                    <w:rPr>
                      <w:rFonts w:ascii="仿宋_GB2312" w:hAnsi="仿宋_GB2312" w:cs="仿宋_GB2312" w:eastAsia="仿宋_GB2312"/>
                      <w:sz w:val="24"/>
                    </w:rPr>
                    <w:t>序号</w:t>
                  </w:r>
                </w:p>
              </w:tc>
              <w:tc>
                <w:tcPr>
                  <w:tcW w:type="dxa" w:w="6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50"/>
                  </w:pPr>
                  <w:r>
                    <w:rPr>
                      <w:rFonts w:ascii="仿宋_GB2312" w:hAnsi="仿宋_GB2312" w:cs="仿宋_GB2312" w:eastAsia="仿宋_GB2312"/>
                      <w:sz w:val="24"/>
                    </w:rPr>
                    <w:t>服务对象</w:t>
                  </w:r>
                </w:p>
              </w:tc>
              <w:tc>
                <w:tcPr>
                  <w:tcW w:type="dxa" w:w="2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50"/>
                  </w:pPr>
                  <w:r>
                    <w:rPr>
                      <w:rFonts w:ascii="仿宋_GB2312" w:hAnsi="仿宋_GB2312" w:cs="仿宋_GB2312" w:eastAsia="仿宋_GB2312"/>
                      <w:sz w:val="24"/>
                    </w:rPr>
                    <w:t>单位</w:t>
                  </w:r>
                </w:p>
              </w:tc>
              <w:tc>
                <w:tcPr>
                  <w:tcW w:type="dxa" w:w="4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50"/>
                  </w:pPr>
                  <w:r>
                    <w:rPr>
                      <w:rFonts w:ascii="仿宋_GB2312" w:hAnsi="仿宋_GB2312" w:cs="仿宋_GB2312" w:eastAsia="仿宋_GB2312"/>
                      <w:sz w:val="24"/>
                    </w:rPr>
                    <w:t>合同管理范围</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50"/>
                  </w:pPr>
                  <w:r>
                    <w:rPr>
                      <w:rFonts w:ascii="仿宋_GB2312" w:hAnsi="仿宋_GB2312" w:cs="仿宋_GB2312" w:eastAsia="仿宋_GB2312"/>
                      <w:sz w:val="24"/>
                    </w:rPr>
                    <w:t>备注</w:t>
                  </w:r>
                  <w:r>
                    <w:rPr>
                      <w:rFonts w:ascii="仿宋_GB2312" w:hAnsi="仿宋_GB2312" w:cs="仿宋_GB2312" w:eastAsia="仿宋_GB2312"/>
                      <w:sz w:val="24"/>
                    </w:rPr>
                    <w:t>(m²)</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firstLine="240"/>
                  </w:pPr>
                  <w:r>
                    <w:rPr>
                      <w:rFonts w:ascii="仿宋_GB2312" w:hAnsi="仿宋_GB2312" w:cs="仿宋_GB2312" w:eastAsia="仿宋_GB2312"/>
                      <w:sz w:val="24"/>
                    </w:rPr>
                    <w:t>1</w:t>
                  </w:r>
                </w:p>
              </w:tc>
              <w:tc>
                <w:tcPr>
                  <w:tcW w:type="dxa" w:w="6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rPr>
                    <w:t>少陵公园</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rPr>
                    <w:t>m²</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4"/>
                    </w:rPr>
                    <w:t>73359.40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50"/>
                    <w:jc w:val="center"/>
                  </w:pP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2</w:t>
                  </w:r>
                </w:p>
              </w:tc>
              <w:tc>
                <w:tcPr>
                  <w:tcW w:type="dxa" w:w="6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中央公园</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m²</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316292.32</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包括公园北段</w:t>
                  </w:r>
                  <w:r>
                    <w:rPr>
                      <w:rFonts w:ascii="仿宋_GB2312" w:hAnsi="仿宋_GB2312" w:cs="仿宋_GB2312" w:eastAsia="仿宋_GB2312"/>
                      <w:sz w:val="24"/>
                    </w:rPr>
                    <w:t>1.2公里河道，约175289.3平方米</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firstLine="240"/>
                  </w:pPr>
                  <w:r>
                    <w:rPr>
                      <w:rFonts w:ascii="仿宋_GB2312" w:hAnsi="仿宋_GB2312" w:cs="仿宋_GB2312" w:eastAsia="仿宋_GB2312"/>
                      <w:sz w:val="24"/>
                    </w:rPr>
                    <w:t>3</w:t>
                  </w:r>
                </w:p>
              </w:tc>
              <w:tc>
                <w:tcPr>
                  <w:tcW w:type="dxa" w:w="6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3.1公里河道</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m²</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75409.47</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firstLine="240"/>
                    <w:jc w:val="center"/>
                  </w:pP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4</w:t>
                  </w:r>
                </w:p>
              </w:tc>
              <w:tc>
                <w:tcPr>
                  <w:tcW w:type="dxa" w:w="6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1.1公里河道</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m²</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15664.57</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firstLine="240"/>
                    <w:jc w:val="center"/>
                  </w:pP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5</w:t>
                  </w:r>
                </w:p>
              </w:tc>
              <w:tc>
                <w:tcPr>
                  <w:tcW w:type="dxa" w:w="6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樊川公园二期</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m²</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273396.39</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firstLine="240"/>
                    <w:jc w:val="center"/>
                  </w:pP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6</w:t>
                  </w:r>
                </w:p>
              </w:tc>
              <w:tc>
                <w:tcPr>
                  <w:tcW w:type="dxa" w:w="6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引水管线</w:t>
                  </w:r>
                  <w:r>
                    <w:rPr>
                      <w:rFonts w:ascii="仿宋_GB2312" w:hAnsi="仿宋_GB2312" w:cs="仿宋_GB2312" w:eastAsia="仿宋_GB2312"/>
                      <w:sz w:val="24"/>
                    </w:rPr>
                    <w:t>(DN600球墨铸铁管)</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m</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4"/>
                    </w:rPr>
                    <w:t>5100.00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firstLine="240"/>
                    <w:jc w:val="center"/>
                  </w:pPr>
                </w:p>
              </w:tc>
            </w:tr>
          </w:tbl>
          <w:p>
            <w:pPr>
              <w:pStyle w:val="null3"/>
              <w:jc w:val="left"/>
            </w:pPr>
            <w:r>
              <w:rPr>
                <w:rFonts w:ascii="仿宋_GB2312" w:hAnsi="仿宋_GB2312" w:cs="仿宋_GB2312" w:eastAsia="仿宋_GB2312"/>
                <w:sz w:val="24"/>
              </w:rPr>
              <w:t>1、河道：</w:t>
            </w:r>
          </w:p>
          <w:p>
            <w:pPr>
              <w:pStyle w:val="null3"/>
              <w:jc w:val="left"/>
            </w:pPr>
            <w:r>
              <w:rPr>
                <w:rFonts w:ascii="仿宋_GB2312" w:hAnsi="仿宋_GB2312" w:cs="仿宋_GB2312" w:eastAsia="仿宋_GB2312"/>
                <w:sz w:val="24"/>
              </w:rPr>
              <w:t>1.1服务内容：</w:t>
            </w:r>
          </w:p>
          <w:p>
            <w:pPr>
              <w:pStyle w:val="null3"/>
              <w:jc w:val="left"/>
            </w:pPr>
            <w:r>
              <w:rPr>
                <w:rFonts w:ascii="仿宋_GB2312" w:hAnsi="仿宋_GB2312" w:cs="仿宋_GB2312" w:eastAsia="仿宋_GB2312"/>
                <w:sz w:val="24"/>
              </w:rPr>
              <w:t>对河堤、水面的垃圾日捡日清，确保河道无白色垃圾，无漂浮物，打捞的垃圾、漂浮物按规范要求处理，不得随意倾倒，移位污染，负责河堤所植树木的扶正、管护及修剪；负责服务范围内河道的日常巡查工作，制止单位或个人向河道内倾倒垃圾杂物；遵纪守法，文明作业，维护好河道范围内各类设施设备。</w:t>
            </w:r>
          </w:p>
          <w:p>
            <w:pPr>
              <w:pStyle w:val="null3"/>
              <w:jc w:val="left"/>
            </w:pPr>
            <w:r>
              <w:rPr>
                <w:rFonts w:ascii="仿宋_GB2312" w:hAnsi="仿宋_GB2312" w:cs="仿宋_GB2312" w:eastAsia="仿宋_GB2312"/>
                <w:sz w:val="24"/>
              </w:rPr>
              <w:t>1.2服务要求：</w:t>
            </w:r>
          </w:p>
          <w:p>
            <w:pPr>
              <w:pStyle w:val="null3"/>
              <w:jc w:val="left"/>
            </w:pPr>
            <w:r>
              <w:rPr>
                <w:rFonts w:ascii="仿宋_GB2312" w:hAnsi="仿宋_GB2312" w:cs="仿宋_GB2312" w:eastAsia="仿宋_GB2312"/>
                <w:sz w:val="24"/>
              </w:rPr>
              <w:t>供应商须保证河道内水面无白色垃圾、无漂浮物；负责所有河道打捞垃圾的清运，须确保垃圾清运过程中严格遵守环保部门的相关要求，杜绝运输过程中造成二次污染；河堤树木日常管护。</w:t>
            </w:r>
          </w:p>
          <w:p>
            <w:pPr>
              <w:pStyle w:val="null3"/>
              <w:jc w:val="left"/>
            </w:pPr>
            <w:r>
              <w:rPr>
                <w:rFonts w:ascii="仿宋_GB2312" w:hAnsi="仿宋_GB2312" w:cs="仿宋_GB2312" w:eastAsia="仿宋_GB2312"/>
                <w:sz w:val="24"/>
              </w:rPr>
              <w:t>2、绿化：</w:t>
            </w:r>
          </w:p>
          <w:p>
            <w:pPr>
              <w:pStyle w:val="null3"/>
              <w:jc w:val="left"/>
            </w:pPr>
            <w:r>
              <w:rPr>
                <w:rFonts w:ascii="仿宋_GB2312" w:hAnsi="仿宋_GB2312" w:cs="仿宋_GB2312" w:eastAsia="仿宋_GB2312"/>
                <w:sz w:val="24"/>
              </w:rPr>
              <w:t>2.1服务内容</w:t>
            </w:r>
          </w:p>
          <w:p>
            <w:pPr>
              <w:pStyle w:val="null3"/>
              <w:jc w:val="left"/>
            </w:pPr>
            <w:r>
              <w:rPr>
                <w:rFonts w:ascii="仿宋_GB2312" w:hAnsi="仿宋_GB2312" w:cs="仿宋_GB2312" w:eastAsia="仿宋_GB2312"/>
                <w:sz w:val="24"/>
              </w:rPr>
              <w:t>2.1.1严格按照《西安市绿化养护管理标准》对所承包园区内的绿地进行养护管理。精心组织、精心管护，保质保量完成管护任务。包括松土除草、修剪、抹芽、浇水、中耕施肥、病虫害防治、抗旱防涝、缺株补植、清除枯枝、垃圾清运、树木绑扎、树干刷白、草坪切边、加土扶正、立架加固、抗洪抢险、设施维护、安全保护措施等一切养管工作的总承包。</w:t>
            </w:r>
          </w:p>
          <w:p>
            <w:pPr>
              <w:pStyle w:val="null3"/>
              <w:jc w:val="left"/>
            </w:pPr>
            <w:r>
              <w:rPr>
                <w:rFonts w:ascii="仿宋_GB2312" w:hAnsi="仿宋_GB2312" w:cs="仿宋_GB2312" w:eastAsia="仿宋_GB2312"/>
                <w:sz w:val="24"/>
              </w:rPr>
              <w:t>2.1.2重大节日及重大活动(含公益活动)期间，供应商有义务按照上级统一要求，认真做好管养工作，并及时给予活动支持。</w:t>
            </w:r>
          </w:p>
          <w:p>
            <w:pPr>
              <w:pStyle w:val="null3"/>
              <w:jc w:val="left"/>
            </w:pPr>
            <w:r>
              <w:rPr>
                <w:rFonts w:ascii="仿宋_GB2312" w:hAnsi="仿宋_GB2312" w:cs="仿宋_GB2312" w:eastAsia="仿宋_GB2312"/>
                <w:sz w:val="24"/>
              </w:rPr>
              <w:t>2.1.3因养护管理不到位等原因发生的绿化项目减少及毁损的，供应商应及时补齐到位。</w:t>
            </w:r>
          </w:p>
          <w:p>
            <w:pPr>
              <w:pStyle w:val="null3"/>
              <w:jc w:val="left"/>
            </w:pPr>
            <w:r>
              <w:rPr>
                <w:rFonts w:ascii="仿宋_GB2312" w:hAnsi="仿宋_GB2312" w:cs="仿宋_GB2312" w:eastAsia="仿宋_GB2312"/>
                <w:sz w:val="24"/>
              </w:rPr>
              <w:t>2.2服务要求</w:t>
            </w:r>
          </w:p>
          <w:p>
            <w:pPr>
              <w:pStyle w:val="null3"/>
              <w:jc w:val="left"/>
            </w:pPr>
            <w:r>
              <w:rPr>
                <w:rFonts w:ascii="仿宋_GB2312" w:hAnsi="仿宋_GB2312" w:cs="仿宋_GB2312" w:eastAsia="仿宋_GB2312"/>
                <w:sz w:val="24"/>
              </w:rPr>
              <w:t>2.2.1绿化养护管理标准</w:t>
            </w:r>
          </w:p>
          <w:p>
            <w:pPr>
              <w:pStyle w:val="null3"/>
              <w:jc w:val="left"/>
            </w:pPr>
            <w:r>
              <w:rPr>
                <w:rFonts w:ascii="仿宋_GB2312" w:hAnsi="仿宋_GB2312" w:cs="仿宋_GB2312" w:eastAsia="仿宋_GB2312"/>
                <w:sz w:val="24"/>
              </w:rPr>
              <w:t>总体要求：绿化养护技术措施比较完善，管理基本到位，基本达到黄土不露天。</w:t>
            </w:r>
          </w:p>
          <w:p>
            <w:pPr>
              <w:pStyle w:val="null3"/>
              <w:jc w:val="left"/>
            </w:pPr>
            <w:r>
              <w:rPr>
                <w:rFonts w:ascii="仿宋_GB2312" w:hAnsi="仿宋_GB2312" w:cs="仿宋_GB2312" w:eastAsia="仿宋_GB2312"/>
                <w:sz w:val="24"/>
              </w:rPr>
              <w:t>1)、乔木</w:t>
            </w:r>
          </w:p>
          <w:p>
            <w:pPr>
              <w:pStyle w:val="null3"/>
              <w:jc w:val="left"/>
            </w:pPr>
            <w:r>
              <w:rPr>
                <w:rFonts w:ascii="仿宋_GB2312" w:hAnsi="仿宋_GB2312" w:cs="仿宋_GB2312" w:eastAsia="仿宋_GB2312"/>
                <w:sz w:val="24"/>
              </w:rPr>
              <w:t>(1)生长正常，树冠完整，分枝点合适，主侧枝分布均匀、数量适宜。</w:t>
            </w:r>
          </w:p>
          <w:p>
            <w:pPr>
              <w:pStyle w:val="null3"/>
              <w:jc w:val="left"/>
            </w:pPr>
            <w:r>
              <w:rPr>
                <w:rFonts w:ascii="仿宋_GB2312" w:hAnsi="仿宋_GB2312" w:cs="仿宋_GB2312" w:eastAsia="仿宋_GB2312"/>
                <w:sz w:val="24"/>
              </w:rPr>
              <w:t>(2)枝干正常，枝条粗壮，无蛀干害虫的活卵、活虫；无明显的人为损坏。</w:t>
            </w:r>
          </w:p>
          <w:p>
            <w:pPr>
              <w:pStyle w:val="null3"/>
              <w:jc w:val="left"/>
            </w:pPr>
            <w:r>
              <w:rPr>
                <w:rFonts w:ascii="仿宋_GB2312" w:hAnsi="仿宋_GB2312" w:cs="仿宋_GB2312" w:eastAsia="仿宋_GB2312"/>
                <w:sz w:val="24"/>
              </w:rPr>
              <w:t>(3)树木叶色、大小、厚度正常，在一般条件下发生黄叶、焦叶、卷叶、落叶株数低于5%;叶上虫粪、虫网、病斑及被啃食叶片每株低于10%。</w:t>
            </w:r>
          </w:p>
          <w:p>
            <w:pPr>
              <w:pStyle w:val="null3"/>
              <w:jc w:val="left"/>
            </w:pPr>
            <w:r>
              <w:rPr>
                <w:rFonts w:ascii="仿宋_GB2312" w:hAnsi="仿宋_GB2312" w:cs="仿宋_GB2312" w:eastAsia="仿宋_GB2312"/>
                <w:sz w:val="24"/>
              </w:rPr>
              <w:t>(4)修剪基本合理，树形完整。</w:t>
            </w:r>
          </w:p>
          <w:p>
            <w:pPr>
              <w:pStyle w:val="null3"/>
              <w:jc w:val="left"/>
            </w:pPr>
            <w:r>
              <w:rPr>
                <w:rFonts w:ascii="仿宋_GB2312" w:hAnsi="仿宋_GB2312" w:cs="仿宋_GB2312" w:eastAsia="仿宋_GB2312"/>
                <w:sz w:val="24"/>
              </w:rPr>
              <w:t>(5)根据季节和生长情况适时灌溉排水，保持适当水分。</w:t>
            </w:r>
          </w:p>
          <w:p>
            <w:pPr>
              <w:pStyle w:val="null3"/>
              <w:jc w:val="left"/>
            </w:pPr>
            <w:r>
              <w:rPr>
                <w:rFonts w:ascii="仿宋_GB2312" w:hAnsi="仿宋_GB2312" w:cs="仿宋_GB2312" w:eastAsia="仿宋_GB2312"/>
                <w:sz w:val="24"/>
              </w:rPr>
              <w:t>(6)树木保存率95%以上，及时补栽成活率90%以上。</w:t>
            </w:r>
          </w:p>
          <w:p>
            <w:pPr>
              <w:pStyle w:val="null3"/>
              <w:jc w:val="left"/>
            </w:pPr>
            <w:r>
              <w:rPr>
                <w:rFonts w:ascii="仿宋_GB2312" w:hAnsi="仿宋_GB2312" w:cs="仿宋_GB2312" w:eastAsia="仿宋_GB2312"/>
                <w:sz w:val="24"/>
              </w:rPr>
              <w:t>(7)行道树缺株控制在4%以下，新补植树同原有树种、规格、定干高度一致，有支撑措施。</w:t>
            </w:r>
          </w:p>
          <w:p>
            <w:pPr>
              <w:pStyle w:val="null3"/>
              <w:jc w:val="left"/>
            </w:pPr>
            <w:r>
              <w:rPr>
                <w:rFonts w:ascii="仿宋_GB2312" w:hAnsi="仿宋_GB2312" w:cs="仿宋_GB2312" w:eastAsia="仿宋_GB2312"/>
                <w:sz w:val="24"/>
              </w:rPr>
              <w:t>2)、灌木和花卉</w:t>
            </w:r>
          </w:p>
          <w:p>
            <w:pPr>
              <w:pStyle w:val="null3"/>
              <w:jc w:val="left"/>
            </w:pPr>
            <w:r>
              <w:rPr>
                <w:rFonts w:ascii="仿宋_GB2312" w:hAnsi="仿宋_GB2312" w:cs="仿宋_GB2312" w:eastAsia="仿宋_GB2312"/>
                <w:sz w:val="24"/>
              </w:rPr>
              <w:t>(1)灌木长势好，叶色正常。株型较丰满。乔灌木开花及时，花期内开花不断，基本无枯枝败叶、残花败花。</w:t>
            </w:r>
          </w:p>
          <w:p>
            <w:pPr>
              <w:pStyle w:val="null3"/>
              <w:jc w:val="left"/>
            </w:pPr>
            <w:r>
              <w:rPr>
                <w:rFonts w:ascii="仿宋_GB2312" w:hAnsi="仿宋_GB2312" w:cs="仿宋_GB2312" w:eastAsia="仿宋_GB2312"/>
                <w:sz w:val="24"/>
              </w:rPr>
              <w:t>(2)修剪基本合理。花后适时修剪，促进花芽生长常年开花植物要有目的地培养花枝，延长花期。</w:t>
            </w:r>
          </w:p>
          <w:p>
            <w:pPr>
              <w:pStyle w:val="null3"/>
              <w:jc w:val="left"/>
            </w:pPr>
            <w:r>
              <w:rPr>
                <w:rFonts w:ascii="仿宋_GB2312" w:hAnsi="仿宋_GB2312" w:cs="仿宋_GB2312" w:eastAsia="仿宋_GB2312"/>
                <w:sz w:val="24"/>
              </w:rPr>
              <w:t>(3)灌溉、施肥</w:t>
            </w:r>
          </w:p>
          <w:p>
            <w:pPr>
              <w:pStyle w:val="null3"/>
              <w:jc w:val="left"/>
            </w:pPr>
            <w:r>
              <w:rPr>
                <w:rFonts w:ascii="仿宋_GB2312" w:hAnsi="仿宋_GB2312" w:cs="仿宋_GB2312" w:eastAsia="仿宋_GB2312"/>
                <w:sz w:val="24"/>
              </w:rPr>
              <w:t>要根据植物的生长及开花特性进行合理灌溉和施肥。在雨水缺少的季节，要适时浇水。一般在每年春、秋季结合除草松土适当施肥。花灌木要适当控水施肥，延长花期。</w:t>
            </w:r>
          </w:p>
          <w:p>
            <w:pPr>
              <w:pStyle w:val="null3"/>
              <w:jc w:val="left"/>
            </w:pPr>
            <w:r>
              <w:rPr>
                <w:rFonts w:ascii="仿宋_GB2312" w:hAnsi="仿宋_GB2312" w:cs="仿宋_GB2312" w:eastAsia="仿宋_GB2312"/>
                <w:sz w:val="24"/>
              </w:rPr>
              <w:t>(4)除杂草、松土</w:t>
            </w:r>
          </w:p>
          <w:p>
            <w:pPr>
              <w:pStyle w:val="null3"/>
              <w:jc w:val="left"/>
            </w:pPr>
            <w:r>
              <w:rPr>
                <w:rFonts w:ascii="仿宋_GB2312" w:hAnsi="仿宋_GB2312" w:cs="仿宋_GB2312" w:eastAsia="仿宋_GB2312"/>
                <w:sz w:val="24"/>
              </w:rPr>
              <w:t>要经常除杂草和松土。深度不小于</w:t>
            </w:r>
            <w:r>
              <w:rPr>
                <w:rFonts w:ascii="仿宋_GB2312" w:hAnsi="仿宋_GB2312" w:cs="仿宋_GB2312" w:eastAsia="仿宋_GB2312"/>
                <w:sz w:val="24"/>
              </w:rPr>
              <w:t>20厘米的表土疏松、平整，并低于周围表土5厘米。除杂松土时要保护根系，不能造成黄土裸露。</w:t>
            </w:r>
          </w:p>
          <w:p>
            <w:pPr>
              <w:pStyle w:val="null3"/>
              <w:jc w:val="left"/>
            </w:pPr>
            <w:r>
              <w:rPr>
                <w:rFonts w:ascii="仿宋_GB2312" w:hAnsi="仿宋_GB2312" w:cs="仿宋_GB2312" w:eastAsia="仿宋_GB2312"/>
                <w:sz w:val="24"/>
              </w:rPr>
              <w:t>(5)补植</w:t>
            </w:r>
          </w:p>
          <w:p>
            <w:pPr>
              <w:pStyle w:val="null3"/>
              <w:jc w:val="left"/>
            </w:pPr>
            <w:r>
              <w:rPr>
                <w:rFonts w:ascii="仿宋_GB2312" w:hAnsi="仿宋_GB2312" w:cs="仿宋_GB2312" w:eastAsia="仿宋_GB2312"/>
                <w:sz w:val="24"/>
              </w:rPr>
              <w:t>要求及时清理死苗，补植回原来的种类并力求规格与原来植株接近，以保证景观效果。补植按照种植规范进行，施足基肥并加强浇水等保养措施，保证成活率达</w:t>
            </w:r>
            <w:r>
              <w:rPr>
                <w:rFonts w:ascii="仿宋_GB2312" w:hAnsi="仿宋_GB2312" w:cs="仿宋_GB2312" w:eastAsia="仿宋_GB2312"/>
                <w:sz w:val="24"/>
              </w:rPr>
              <w:t>95%以上。</w:t>
            </w:r>
          </w:p>
          <w:p>
            <w:pPr>
              <w:pStyle w:val="null3"/>
              <w:jc w:val="left"/>
            </w:pPr>
            <w:r>
              <w:rPr>
                <w:rFonts w:ascii="仿宋_GB2312" w:hAnsi="仿宋_GB2312" w:cs="仿宋_GB2312" w:eastAsia="仿宋_GB2312"/>
                <w:sz w:val="24"/>
              </w:rPr>
              <w:t>(6)病虫害防治</w:t>
            </w:r>
          </w:p>
          <w:p>
            <w:pPr>
              <w:pStyle w:val="null3"/>
              <w:jc w:val="left"/>
            </w:pPr>
            <w:r>
              <w:rPr>
                <w:rFonts w:ascii="仿宋_GB2312" w:hAnsi="仿宋_GB2312" w:cs="仿宋_GB2312" w:eastAsia="仿宋_GB2312"/>
                <w:sz w:val="24"/>
              </w:rPr>
              <w:t>精心养护，增强植物抗病虫害能力。要及时做好病虫害的防治工作，预防为主，早发现早处理。采取综合防治、化学防治、物理人工防治和生物防治等方法防止病虫害蔓延和影响植物生长。尽量采用生物防治的办法，以减少对环境的污染。用化学方法防治时，喷药一般要在晚上进行；药物、用量及对环境的影响，要符合环保的要求和标准。发生病虫危害，危害率控制在</w:t>
            </w:r>
            <w:r>
              <w:rPr>
                <w:rFonts w:ascii="仿宋_GB2312" w:hAnsi="仿宋_GB2312" w:cs="仿宋_GB2312" w:eastAsia="仿宋_GB2312"/>
                <w:sz w:val="24"/>
              </w:rPr>
              <w:t>10%以下。</w:t>
            </w:r>
          </w:p>
          <w:p>
            <w:pPr>
              <w:pStyle w:val="null3"/>
              <w:jc w:val="left"/>
            </w:pPr>
            <w:r>
              <w:rPr>
                <w:rFonts w:ascii="仿宋_GB2312" w:hAnsi="仿宋_GB2312" w:cs="仿宋_GB2312" w:eastAsia="仿宋_GB2312"/>
                <w:sz w:val="24"/>
              </w:rPr>
              <w:t>(7)绿篱、色块</w:t>
            </w:r>
          </w:p>
          <w:p>
            <w:pPr>
              <w:pStyle w:val="null3"/>
              <w:jc w:val="left"/>
            </w:pPr>
            <w:r>
              <w:rPr>
                <w:rFonts w:ascii="仿宋_GB2312" w:hAnsi="仿宋_GB2312" w:cs="仿宋_GB2312" w:eastAsia="仿宋_GB2312"/>
                <w:sz w:val="24"/>
              </w:rPr>
              <w:t>生长正常，修剪合理，整齐一致，基本无死株断垄现象。</w:t>
            </w:r>
          </w:p>
          <w:p>
            <w:pPr>
              <w:pStyle w:val="null3"/>
              <w:jc w:val="left"/>
            </w:pPr>
            <w:r>
              <w:rPr>
                <w:rFonts w:ascii="仿宋_GB2312" w:hAnsi="仿宋_GB2312" w:cs="仿宋_GB2312" w:eastAsia="仿宋_GB2312"/>
                <w:sz w:val="24"/>
              </w:rPr>
              <w:t>(8)露地花卉</w:t>
            </w:r>
          </w:p>
          <w:p>
            <w:pPr>
              <w:pStyle w:val="null3"/>
              <w:jc w:val="left"/>
            </w:pPr>
            <w:r>
              <w:rPr>
                <w:rFonts w:ascii="仿宋_GB2312" w:hAnsi="仿宋_GB2312" w:cs="仿宋_GB2312" w:eastAsia="仿宋_GB2312"/>
                <w:sz w:val="24"/>
              </w:rPr>
              <w:t>生长正常，开花适时，基本无病虫害，裸地部分不超过</w:t>
            </w:r>
            <w:r>
              <w:rPr>
                <w:rFonts w:ascii="仿宋_GB2312" w:hAnsi="仿宋_GB2312" w:cs="仿宋_GB2312" w:eastAsia="仿宋_GB2312"/>
                <w:sz w:val="24"/>
              </w:rPr>
              <w:t>10%。</w:t>
            </w:r>
          </w:p>
          <w:p>
            <w:pPr>
              <w:pStyle w:val="null3"/>
              <w:jc w:val="left"/>
            </w:pPr>
            <w:r>
              <w:rPr>
                <w:rFonts w:ascii="仿宋_GB2312" w:hAnsi="仿宋_GB2312" w:cs="仿宋_GB2312" w:eastAsia="仿宋_GB2312"/>
                <w:sz w:val="24"/>
              </w:rPr>
              <w:t>3)、草坪与地被植物</w:t>
            </w:r>
          </w:p>
          <w:p>
            <w:pPr>
              <w:pStyle w:val="null3"/>
              <w:jc w:val="left"/>
            </w:pPr>
            <w:r>
              <w:rPr>
                <w:rFonts w:ascii="仿宋_GB2312" w:hAnsi="仿宋_GB2312" w:cs="仿宋_GB2312" w:eastAsia="仿宋_GB2312"/>
                <w:sz w:val="24"/>
              </w:rPr>
              <w:t>(1)长势中等，叶色青绿，无枯黄叶，基本无病虫害。覆盖率不低于95%,杂草控制在5%以下。草坪绿色期：冷季型草不少于280天，暖季型草不少于240天。</w:t>
            </w:r>
          </w:p>
          <w:p>
            <w:pPr>
              <w:pStyle w:val="null3"/>
              <w:jc w:val="left"/>
            </w:pPr>
            <w:r>
              <w:rPr>
                <w:rFonts w:ascii="仿宋_GB2312" w:hAnsi="仿宋_GB2312" w:cs="仿宋_GB2312" w:eastAsia="仿宋_GB2312"/>
                <w:sz w:val="24"/>
              </w:rPr>
              <w:t>(2)修剪</w:t>
            </w:r>
          </w:p>
          <w:p>
            <w:pPr>
              <w:pStyle w:val="null3"/>
              <w:jc w:val="left"/>
            </w:pPr>
            <w:r>
              <w:rPr>
                <w:rFonts w:ascii="仿宋_GB2312" w:hAnsi="仿宋_GB2312" w:cs="仿宋_GB2312" w:eastAsia="仿宋_GB2312"/>
                <w:sz w:val="24"/>
              </w:rPr>
              <w:t>观花地被植物，须在开花后适当压低，或者结合种子采收，适当修剪。要根据草坪生长特性结合季节特点，合理控制草坪修剪高度。</w:t>
            </w:r>
          </w:p>
          <w:p>
            <w:pPr>
              <w:pStyle w:val="null3"/>
              <w:jc w:val="left"/>
            </w:pPr>
            <w:r>
              <w:rPr>
                <w:rFonts w:ascii="仿宋_GB2312" w:hAnsi="仿宋_GB2312" w:cs="仿宋_GB2312" w:eastAsia="仿宋_GB2312"/>
                <w:sz w:val="24"/>
              </w:rPr>
              <w:t>(3)灌溉、施肥</w:t>
            </w:r>
          </w:p>
          <w:p>
            <w:pPr>
              <w:pStyle w:val="null3"/>
              <w:jc w:val="left"/>
            </w:pPr>
            <w:r>
              <w:rPr>
                <w:rFonts w:ascii="仿宋_GB2312" w:hAnsi="仿宋_GB2312" w:cs="仿宋_GB2312" w:eastAsia="仿宋_GB2312"/>
                <w:sz w:val="24"/>
              </w:rPr>
              <w:t>要根据草坪植物的生长需要淋水和施肥，保证淋水充足，肥料的施用方法和用量科学。在雨水缺少的季节，要适时灌溉，特别在</w:t>
            </w:r>
            <w:r>
              <w:rPr>
                <w:rFonts w:ascii="仿宋_GB2312" w:hAnsi="仿宋_GB2312" w:cs="仿宋_GB2312" w:eastAsia="仿宋_GB2312"/>
                <w:sz w:val="24"/>
              </w:rPr>
              <w:t>10-2月份要勤淋水多施肥，适当进行根外追肥，使草坪保持优良的长势度过干旱冬季。</w:t>
            </w:r>
          </w:p>
          <w:p>
            <w:pPr>
              <w:pStyle w:val="null3"/>
              <w:jc w:val="left"/>
            </w:pPr>
            <w:r>
              <w:rPr>
                <w:rFonts w:ascii="仿宋_GB2312" w:hAnsi="仿宋_GB2312" w:cs="仿宋_GB2312" w:eastAsia="仿宋_GB2312"/>
                <w:sz w:val="24"/>
              </w:rPr>
              <w:t>(4)除草、松土</w:t>
            </w:r>
          </w:p>
          <w:p>
            <w:pPr>
              <w:pStyle w:val="null3"/>
              <w:jc w:val="left"/>
            </w:pPr>
            <w:r>
              <w:rPr>
                <w:rFonts w:ascii="仿宋_GB2312" w:hAnsi="仿宋_GB2312" w:cs="仿宋_GB2312" w:eastAsia="仿宋_GB2312"/>
                <w:sz w:val="24"/>
              </w:rPr>
              <w:t>要经常清除杂草。草坪纯度标准为每平方米</w:t>
            </w:r>
            <w:r>
              <w:rPr>
                <w:rFonts w:ascii="仿宋_GB2312" w:hAnsi="仿宋_GB2312" w:cs="仿宋_GB2312" w:eastAsia="仿宋_GB2312"/>
                <w:sz w:val="24"/>
              </w:rPr>
              <w:t>15株非目的草种。要采用打孔等措施松土，有利于草坪生长。</w:t>
            </w:r>
          </w:p>
          <w:p>
            <w:pPr>
              <w:pStyle w:val="null3"/>
              <w:jc w:val="left"/>
            </w:pPr>
            <w:r>
              <w:rPr>
                <w:rFonts w:ascii="仿宋_GB2312" w:hAnsi="仿宋_GB2312" w:cs="仿宋_GB2312" w:eastAsia="仿宋_GB2312"/>
                <w:sz w:val="24"/>
              </w:rPr>
              <w:t>(5)补植</w:t>
            </w:r>
          </w:p>
          <w:p>
            <w:pPr>
              <w:pStyle w:val="null3"/>
              <w:jc w:val="left"/>
            </w:pPr>
            <w:r>
              <w:rPr>
                <w:rFonts w:ascii="仿宋_GB2312" w:hAnsi="仿宋_GB2312" w:cs="仿宋_GB2312" w:eastAsia="仿宋_GB2312"/>
                <w:sz w:val="24"/>
              </w:rPr>
              <w:t>对被破坏或其它原因引起死亡的草坪植物应及时补植，使草坪保持完整，无裸露地。补植要与原草坪相同的草种，适当密植，补植后加强保养，保证一个月内覆盖率达</w:t>
            </w:r>
            <w:r>
              <w:rPr>
                <w:rFonts w:ascii="仿宋_GB2312" w:hAnsi="仿宋_GB2312" w:cs="仿宋_GB2312" w:eastAsia="仿宋_GB2312"/>
                <w:sz w:val="24"/>
              </w:rPr>
              <w:t>95%。</w:t>
            </w:r>
          </w:p>
          <w:p>
            <w:pPr>
              <w:pStyle w:val="null3"/>
              <w:jc w:val="left"/>
            </w:pPr>
            <w:r>
              <w:rPr>
                <w:rFonts w:ascii="仿宋_GB2312" w:hAnsi="仿宋_GB2312" w:cs="仿宋_GB2312" w:eastAsia="仿宋_GB2312"/>
                <w:sz w:val="24"/>
              </w:rPr>
              <w:t>(6)病虫害防治</w:t>
            </w:r>
          </w:p>
          <w:p>
            <w:pPr>
              <w:pStyle w:val="null3"/>
              <w:jc w:val="left"/>
            </w:pPr>
            <w:r>
              <w:rPr>
                <w:rFonts w:ascii="仿宋_GB2312" w:hAnsi="仿宋_GB2312" w:cs="仿宋_GB2312" w:eastAsia="仿宋_GB2312"/>
                <w:sz w:val="24"/>
              </w:rPr>
              <w:t>精心养护，增强植物抗病虫害能力、要及时做好病虫害的防治工作，预防为主，早发现早处理。采取综合防治、化学防治、物理人工防治和生物防治等方法防止病虫害蔓延和影响植物生长。尽量采用生物防治的办法，以减少对环境的污染。用化学方法防治时，一般在晚上进行喷药；药物、用量及对环境的影响，要符合环保的要求和标准。发生病虫危害，危害率控制在</w:t>
            </w:r>
            <w:r>
              <w:rPr>
                <w:rFonts w:ascii="仿宋_GB2312" w:hAnsi="仿宋_GB2312" w:cs="仿宋_GB2312" w:eastAsia="仿宋_GB2312"/>
                <w:sz w:val="24"/>
              </w:rPr>
              <w:t>10%以下。</w:t>
            </w:r>
          </w:p>
          <w:p>
            <w:pPr>
              <w:pStyle w:val="null3"/>
              <w:jc w:val="left"/>
            </w:pPr>
            <w:r>
              <w:rPr>
                <w:rFonts w:ascii="仿宋_GB2312" w:hAnsi="仿宋_GB2312" w:cs="仿宋_GB2312" w:eastAsia="仿宋_GB2312"/>
                <w:sz w:val="24"/>
              </w:rPr>
              <w:t>4)、藤本和攀缘植物</w:t>
            </w:r>
          </w:p>
          <w:p>
            <w:pPr>
              <w:pStyle w:val="null3"/>
              <w:jc w:val="left"/>
            </w:pPr>
            <w:r>
              <w:rPr>
                <w:rFonts w:ascii="仿宋_GB2312" w:hAnsi="仿宋_GB2312" w:cs="仿宋_GB2312" w:eastAsia="仿宋_GB2312"/>
                <w:sz w:val="24"/>
              </w:rPr>
              <w:t>(1)生长正常：适时采取相应的牵引、设置网架等技术措施；视攀缘植物生长习性，覆盖率不低于80%;观花的攀缘植物适时开花。</w:t>
            </w:r>
          </w:p>
          <w:p>
            <w:pPr>
              <w:pStyle w:val="null3"/>
              <w:jc w:val="left"/>
            </w:pPr>
            <w:r>
              <w:rPr>
                <w:rFonts w:ascii="仿宋_GB2312" w:hAnsi="仿宋_GB2312" w:cs="仿宋_GB2312" w:eastAsia="仿宋_GB2312"/>
                <w:sz w:val="24"/>
              </w:rPr>
              <w:t>(2)藤本植物的修剪应以促进分枝为主，并剪除徒长枝和下垂枝。多年生的藤本植物应定期翻蔓，清除枯枝，疏删老弱藤蔓。</w:t>
            </w:r>
          </w:p>
          <w:p>
            <w:pPr>
              <w:pStyle w:val="null3"/>
              <w:jc w:val="left"/>
            </w:pPr>
            <w:r>
              <w:rPr>
                <w:rFonts w:ascii="仿宋_GB2312" w:hAnsi="仿宋_GB2312" w:cs="仿宋_GB2312" w:eastAsia="仿宋_GB2312"/>
                <w:sz w:val="24"/>
              </w:rPr>
              <w:t>(3)雨季应做好排水，秋季停止施肥、灌水，冬季及时清除藤蔓、棚架上的积雪。</w:t>
            </w:r>
          </w:p>
          <w:p>
            <w:pPr>
              <w:pStyle w:val="null3"/>
              <w:jc w:val="left"/>
            </w:pPr>
            <w:r>
              <w:rPr>
                <w:rFonts w:ascii="仿宋_GB2312" w:hAnsi="仿宋_GB2312" w:cs="仿宋_GB2312" w:eastAsia="仿宋_GB2312"/>
                <w:sz w:val="24"/>
              </w:rPr>
              <w:t>(4)在墙体、桥体等处的植株，应加强水肥管理和固定措施，确保美化效果。</w:t>
            </w:r>
          </w:p>
          <w:p>
            <w:pPr>
              <w:pStyle w:val="null3"/>
              <w:jc w:val="left"/>
            </w:pPr>
            <w:r>
              <w:rPr>
                <w:rFonts w:ascii="仿宋_GB2312" w:hAnsi="仿宋_GB2312" w:cs="仿宋_GB2312" w:eastAsia="仿宋_GB2312"/>
                <w:sz w:val="24"/>
              </w:rPr>
              <w:t>5)、竹类</w:t>
            </w:r>
          </w:p>
          <w:p>
            <w:pPr>
              <w:pStyle w:val="null3"/>
              <w:jc w:val="left"/>
            </w:pPr>
            <w:r>
              <w:rPr>
                <w:rFonts w:ascii="仿宋_GB2312" w:hAnsi="仿宋_GB2312" w:cs="仿宋_GB2312" w:eastAsia="仿宋_GB2312"/>
                <w:sz w:val="24"/>
              </w:rPr>
              <w:t>(1)生长正常，竹干疏密有致，无病虫害。</w:t>
            </w:r>
          </w:p>
          <w:p>
            <w:pPr>
              <w:pStyle w:val="null3"/>
              <w:jc w:val="left"/>
            </w:pPr>
            <w:r>
              <w:rPr>
                <w:rFonts w:ascii="仿宋_GB2312" w:hAnsi="仿宋_GB2312" w:cs="仿宋_GB2312" w:eastAsia="仿宋_GB2312"/>
                <w:sz w:val="24"/>
              </w:rPr>
              <w:t>(2)灌溉，施肥</w:t>
            </w:r>
          </w:p>
          <w:p>
            <w:pPr>
              <w:pStyle w:val="null3"/>
              <w:jc w:val="left"/>
            </w:pPr>
            <w:r>
              <w:rPr>
                <w:rFonts w:ascii="仿宋_GB2312" w:hAnsi="仿宋_GB2312" w:cs="仿宋_GB2312" w:eastAsia="仿宋_GB2312"/>
                <w:sz w:val="24"/>
              </w:rPr>
              <w:t>竹类浇水要抓住关键季节，春季出笋前要浇足催笋水，</w:t>
            </w:r>
            <w:r>
              <w:rPr>
                <w:rFonts w:ascii="仿宋_GB2312" w:hAnsi="仿宋_GB2312" w:cs="仿宋_GB2312" w:eastAsia="仿宋_GB2312"/>
                <w:sz w:val="24"/>
              </w:rPr>
              <w:t>5、6月要浇拔节水，夏季雨水充沛可不浇或少浇，秋季浇孕笋水，冬季过于干旱的可适当喷水。</w:t>
            </w:r>
          </w:p>
          <w:p>
            <w:pPr>
              <w:pStyle w:val="null3"/>
              <w:jc w:val="left"/>
            </w:pPr>
            <w:r>
              <w:rPr>
                <w:rFonts w:ascii="仿宋_GB2312" w:hAnsi="仿宋_GB2312" w:cs="仿宋_GB2312" w:eastAsia="仿宋_GB2312"/>
                <w:sz w:val="24"/>
              </w:rPr>
              <w:t>施肥以有机肥为主，时间以</w:t>
            </w:r>
            <w:r>
              <w:rPr>
                <w:rFonts w:ascii="仿宋_GB2312" w:hAnsi="仿宋_GB2312" w:cs="仿宋_GB2312" w:eastAsia="仿宋_GB2312"/>
                <w:sz w:val="24"/>
              </w:rPr>
              <w:t>11-12月为宜。</w:t>
            </w:r>
          </w:p>
          <w:p>
            <w:pPr>
              <w:pStyle w:val="null3"/>
              <w:jc w:val="left"/>
            </w:pPr>
            <w:r>
              <w:rPr>
                <w:rFonts w:ascii="仿宋_GB2312" w:hAnsi="仿宋_GB2312" w:cs="仿宋_GB2312" w:eastAsia="仿宋_GB2312"/>
                <w:sz w:val="24"/>
              </w:rPr>
              <w:t>(3)培土</w:t>
            </w:r>
          </w:p>
          <w:p>
            <w:pPr>
              <w:pStyle w:val="null3"/>
              <w:jc w:val="left"/>
            </w:pPr>
            <w:r>
              <w:rPr>
                <w:rFonts w:ascii="仿宋_GB2312" w:hAnsi="仿宋_GB2312" w:cs="仿宋_GB2312" w:eastAsia="仿宋_GB2312"/>
                <w:sz w:val="24"/>
              </w:rPr>
              <w:t>竹林要每年培土，厚度以</w:t>
            </w:r>
            <w:r>
              <w:rPr>
                <w:rFonts w:ascii="仿宋_GB2312" w:hAnsi="仿宋_GB2312" w:cs="仿宋_GB2312" w:eastAsia="仿宋_GB2312"/>
                <w:sz w:val="24"/>
              </w:rPr>
              <w:t>5厘米为宜，时间利用冬季。</w:t>
            </w:r>
          </w:p>
          <w:p>
            <w:pPr>
              <w:pStyle w:val="null3"/>
              <w:jc w:val="left"/>
            </w:pPr>
            <w:r>
              <w:rPr>
                <w:rFonts w:ascii="仿宋_GB2312" w:hAnsi="仿宋_GB2312" w:cs="仿宋_GB2312" w:eastAsia="仿宋_GB2312"/>
                <w:sz w:val="24"/>
              </w:rPr>
              <w:t>(4)病虫害防治</w:t>
            </w:r>
          </w:p>
          <w:p>
            <w:pPr>
              <w:pStyle w:val="null3"/>
              <w:jc w:val="left"/>
            </w:pPr>
            <w:r>
              <w:rPr>
                <w:rFonts w:ascii="仿宋_GB2312" w:hAnsi="仿宋_GB2312" w:cs="仿宋_GB2312" w:eastAsia="仿宋_GB2312"/>
                <w:sz w:val="24"/>
              </w:rPr>
              <w:t>要及时做好病虫害的防治工作，加强扶育管理，合理砍伐，使林内通风透光，及早砍除病竹烧毁。</w:t>
            </w:r>
          </w:p>
          <w:p>
            <w:pPr>
              <w:pStyle w:val="null3"/>
              <w:jc w:val="left"/>
            </w:pPr>
            <w:r>
              <w:rPr>
                <w:rFonts w:ascii="仿宋_GB2312" w:hAnsi="仿宋_GB2312" w:cs="仿宋_GB2312" w:eastAsia="仿宋_GB2312"/>
                <w:sz w:val="24"/>
              </w:rPr>
              <w:t>2.2.2绿地设施维护及保护</w:t>
            </w:r>
          </w:p>
          <w:p>
            <w:pPr>
              <w:pStyle w:val="null3"/>
              <w:jc w:val="left"/>
            </w:pPr>
            <w:r>
              <w:rPr>
                <w:rFonts w:ascii="仿宋_GB2312" w:hAnsi="仿宋_GB2312" w:cs="仿宋_GB2312" w:eastAsia="仿宋_GB2312"/>
                <w:sz w:val="24"/>
              </w:rPr>
              <w:t>1)、设施维护</w:t>
            </w:r>
          </w:p>
          <w:p>
            <w:pPr>
              <w:pStyle w:val="null3"/>
              <w:jc w:val="left"/>
            </w:pPr>
            <w:r>
              <w:rPr>
                <w:rFonts w:ascii="仿宋_GB2312" w:hAnsi="仿宋_GB2312" w:cs="仿宋_GB2312" w:eastAsia="仿宋_GB2312"/>
                <w:sz w:val="24"/>
              </w:rPr>
              <w:t>绿地设施包括喷灌、照明、音响系统和园路、护栏、坐凳、喷泉、雕塑、移动花钵等景观设施。</w:t>
            </w:r>
          </w:p>
          <w:p>
            <w:pPr>
              <w:pStyle w:val="null3"/>
              <w:jc w:val="left"/>
            </w:pPr>
            <w:r>
              <w:rPr>
                <w:rFonts w:ascii="仿宋_GB2312" w:hAnsi="仿宋_GB2312" w:cs="仿宋_GB2312" w:eastAsia="仿宋_GB2312"/>
                <w:sz w:val="24"/>
              </w:rPr>
              <w:t>(1)喷灌设施正常启用移交后，要保持喷洒正常、开关灵活、管道无漏水。</w:t>
            </w:r>
          </w:p>
          <w:p>
            <w:pPr>
              <w:pStyle w:val="null3"/>
              <w:jc w:val="left"/>
            </w:pPr>
            <w:r>
              <w:rPr>
                <w:rFonts w:ascii="仿宋_GB2312" w:hAnsi="仿宋_GB2312" w:cs="仿宋_GB2312" w:eastAsia="仿宋_GB2312"/>
                <w:sz w:val="24"/>
              </w:rPr>
              <w:t>(2)园林照明、音响设施</w:t>
            </w:r>
          </w:p>
          <w:p>
            <w:pPr>
              <w:pStyle w:val="null3"/>
              <w:jc w:val="left"/>
            </w:pPr>
            <w:r>
              <w:rPr>
                <w:rFonts w:ascii="仿宋_GB2312" w:hAnsi="仿宋_GB2312" w:cs="仿宋_GB2312" w:eastAsia="仿宋_GB2312"/>
                <w:sz w:val="24"/>
              </w:rPr>
              <w:t>绿地上的灯光、音响，要经常进行检修，发现线路破损、灯泡烧毁、灯罩破损、音箱损坏的要及时进行修复、更换，保持设备正常运作。</w:t>
            </w:r>
          </w:p>
          <w:p>
            <w:pPr>
              <w:pStyle w:val="null3"/>
              <w:jc w:val="left"/>
            </w:pPr>
            <w:r>
              <w:rPr>
                <w:rFonts w:ascii="仿宋_GB2312" w:hAnsi="仿宋_GB2312" w:cs="仿宋_GB2312" w:eastAsia="仿宋_GB2312"/>
                <w:sz w:val="24"/>
              </w:rPr>
              <w:t>3)水池喷泉</w:t>
            </w:r>
          </w:p>
          <w:p>
            <w:pPr>
              <w:pStyle w:val="null3"/>
              <w:jc w:val="left"/>
            </w:pPr>
            <w:r>
              <w:rPr>
                <w:rFonts w:ascii="仿宋_GB2312" w:hAnsi="仿宋_GB2312" w:cs="仿宋_GB2312" w:eastAsia="仿宋_GB2312"/>
                <w:sz w:val="24"/>
              </w:rPr>
              <w:t>保持水面及水池内外清洁，水质良好，水量适度，喷泉运作正常。池壁美观，不漏水，设施完好无损；要求及时清除杂物，定时杀蚊子幼虫，定时清洗水池。</w:t>
            </w:r>
          </w:p>
          <w:p>
            <w:pPr>
              <w:pStyle w:val="null3"/>
              <w:jc w:val="left"/>
            </w:pPr>
            <w:r>
              <w:rPr>
                <w:rFonts w:ascii="仿宋_GB2312" w:hAnsi="仿宋_GB2312" w:cs="仿宋_GB2312" w:eastAsia="仿宋_GB2312"/>
                <w:sz w:val="24"/>
              </w:rPr>
              <w:t>(4)护栏</w:t>
            </w:r>
          </w:p>
          <w:p>
            <w:pPr>
              <w:pStyle w:val="null3"/>
              <w:jc w:val="left"/>
            </w:pPr>
            <w:r>
              <w:rPr>
                <w:rFonts w:ascii="仿宋_GB2312" w:hAnsi="仿宋_GB2312" w:cs="仿宋_GB2312" w:eastAsia="仿宋_GB2312"/>
                <w:sz w:val="24"/>
              </w:rPr>
              <w:t>护栏要保持整洁完整，定期清理，不能有倾斜的现象，被损坏的要及时修补。遇到节日庆典和大型活动应派专人定时定点进行清洗和维护。</w:t>
            </w:r>
          </w:p>
          <w:p>
            <w:pPr>
              <w:pStyle w:val="null3"/>
              <w:jc w:val="left"/>
            </w:pPr>
            <w:r>
              <w:rPr>
                <w:rFonts w:ascii="仿宋_GB2312" w:hAnsi="仿宋_GB2312" w:cs="仿宋_GB2312" w:eastAsia="仿宋_GB2312"/>
                <w:sz w:val="24"/>
              </w:rPr>
              <w:t>(5)园路</w:t>
            </w:r>
          </w:p>
          <w:p>
            <w:pPr>
              <w:pStyle w:val="null3"/>
              <w:jc w:val="left"/>
            </w:pPr>
            <w:r>
              <w:rPr>
                <w:rFonts w:ascii="仿宋_GB2312" w:hAnsi="仿宋_GB2312" w:cs="仿宋_GB2312" w:eastAsia="仿宋_GB2312"/>
                <w:sz w:val="24"/>
              </w:rPr>
              <w:t>绿地内园路要保持清洁、美观，完好无损。要及时清除路面垃圾杂物，修补破损并保持完好。</w:t>
            </w:r>
          </w:p>
          <w:p>
            <w:pPr>
              <w:pStyle w:val="null3"/>
              <w:jc w:val="left"/>
            </w:pPr>
            <w:r>
              <w:rPr>
                <w:rFonts w:ascii="仿宋_GB2312" w:hAnsi="仿宋_GB2312" w:cs="仿宋_GB2312" w:eastAsia="仿宋_GB2312"/>
                <w:sz w:val="24"/>
              </w:rPr>
              <w:t>(6)园林雕塑</w:t>
            </w:r>
          </w:p>
          <w:p>
            <w:pPr>
              <w:pStyle w:val="null3"/>
              <w:jc w:val="left"/>
            </w:pPr>
            <w:r>
              <w:rPr>
                <w:rFonts w:ascii="仿宋_GB2312" w:hAnsi="仿宋_GB2312" w:cs="仿宋_GB2312" w:eastAsia="仿宋_GB2312"/>
                <w:sz w:val="24"/>
              </w:rPr>
              <w:t>园林雕塑要保持整洁、美观，完好无损，对其上的乱涂、乱画、乱张贴要及时清理干净，以增强园林美化效果。</w:t>
            </w:r>
          </w:p>
          <w:p>
            <w:pPr>
              <w:pStyle w:val="null3"/>
              <w:jc w:val="left"/>
            </w:pPr>
            <w:r>
              <w:rPr>
                <w:rFonts w:ascii="仿宋_GB2312" w:hAnsi="仿宋_GB2312" w:cs="仿宋_GB2312" w:eastAsia="仿宋_GB2312"/>
                <w:sz w:val="24"/>
              </w:rPr>
              <w:t>2)、绿地保护</w:t>
            </w:r>
          </w:p>
          <w:p>
            <w:pPr>
              <w:pStyle w:val="null3"/>
              <w:jc w:val="left"/>
            </w:pPr>
            <w:r>
              <w:rPr>
                <w:rFonts w:ascii="仿宋_GB2312" w:hAnsi="仿宋_GB2312" w:cs="仿宋_GB2312" w:eastAsia="仿宋_GB2312"/>
                <w:sz w:val="24"/>
              </w:rPr>
              <w:t>加强人员巡查，保护绿地内的花草树木不受损害，对任何破坏行为要加以制止并及时报告绿化管理部门。</w:t>
            </w:r>
          </w:p>
          <w:p>
            <w:pPr>
              <w:pStyle w:val="null3"/>
              <w:jc w:val="left"/>
            </w:pPr>
            <w:r>
              <w:rPr>
                <w:rFonts w:ascii="仿宋_GB2312" w:hAnsi="仿宋_GB2312" w:cs="仿宋_GB2312" w:eastAsia="仿宋_GB2312"/>
                <w:sz w:val="24"/>
              </w:rPr>
              <w:t>3、卫生</w:t>
            </w:r>
          </w:p>
          <w:p>
            <w:pPr>
              <w:pStyle w:val="null3"/>
              <w:jc w:val="left"/>
            </w:pPr>
            <w:r>
              <w:rPr>
                <w:rFonts w:ascii="仿宋_GB2312" w:hAnsi="仿宋_GB2312" w:cs="仿宋_GB2312" w:eastAsia="仿宋_GB2312"/>
                <w:sz w:val="24"/>
              </w:rPr>
              <w:t>3.1服务内容：</w:t>
            </w:r>
          </w:p>
          <w:p>
            <w:pPr>
              <w:pStyle w:val="null3"/>
              <w:jc w:val="left"/>
            </w:pPr>
            <w:r>
              <w:rPr>
                <w:rFonts w:ascii="仿宋_GB2312" w:hAnsi="仿宋_GB2312" w:cs="仿宋_GB2312" w:eastAsia="仿宋_GB2312"/>
                <w:sz w:val="24"/>
              </w:rPr>
              <w:t>区域可视范围内的公共绿地、树坑等的环卫保洁、野广告清除等工作；区域内垃圾箱、保洁工具箱等的保洁清洗、周边垃圾收集及公共卫生间的保洁等工作。</w:t>
            </w:r>
          </w:p>
          <w:p>
            <w:pPr>
              <w:pStyle w:val="null3"/>
              <w:jc w:val="left"/>
            </w:pPr>
            <w:r>
              <w:rPr>
                <w:rFonts w:ascii="仿宋_GB2312" w:hAnsi="仿宋_GB2312" w:cs="仿宋_GB2312" w:eastAsia="仿宋_GB2312"/>
                <w:sz w:val="24"/>
              </w:rPr>
              <w:t>3.2服务要求：</w:t>
            </w:r>
          </w:p>
          <w:p>
            <w:pPr>
              <w:pStyle w:val="null3"/>
              <w:jc w:val="left"/>
            </w:pPr>
            <w:r>
              <w:rPr>
                <w:rFonts w:ascii="仿宋_GB2312" w:hAnsi="仿宋_GB2312" w:cs="仿宋_GB2312" w:eastAsia="仿宋_GB2312"/>
                <w:sz w:val="24"/>
              </w:rPr>
              <w:t>3.2.1作业方式及时间</w:t>
            </w:r>
          </w:p>
          <w:p>
            <w:pPr>
              <w:pStyle w:val="null3"/>
              <w:jc w:val="left"/>
            </w:pPr>
            <w:r>
              <w:rPr>
                <w:rFonts w:ascii="仿宋_GB2312" w:hAnsi="仿宋_GB2312" w:cs="仿宋_GB2312" w:eastAsia="仿宋_GB2312"/>
                <w:sz w:val="24"/>
              </w:rPr>
              <w:t>(1)作业方式：全天保洁。</w:t>
            </w:r>
          </w:p>
          <w:p>
            <w:pPr>
              <w:pStyle w:val="null3"/>
              <w:jc w:val="left"/>
            </w:pPr>
            <w:r>
              <w:rPr>
                <w:rFonts w:ascii="仿宋_GB2312" w:hAnsi="仿宋_GB2312" w:cs="仿宋_GB2312" w:eastAsia="仿宋_GB2312"/>
                <w:sz w:val="24"/>
              </w:rPr>
              <w:t>(2)清扫时间：清扫班次由供应商自行安排。全天保洁工作不能出现空、断岗，节假日及日常作业过程中不得出现脱岗现象。</w:t>
            </w:r>
          </w:p>
          <w:p>
            <w:pPr>
              <w:pStyle w:val="null3"/>
              <w:jc w:val="left"/>
            </w:pPr>
            <w:r>
              <w:rPr>
                <w:rFonts w:ascii="仿宋_GB2312" w:hAnsi="仿宋_GB2312" w:cs="仿宋_GB2312" w:eastAsia="仿宋_GB2312"/>
                <w:sz w:val="24"/>
              </w:rPr>
              <w:t>3.2.2保洁质量标准</w:t>
            </w:r>
          </w:p>
          <w:p>
            <w:pPr>
              <w:pStyle w:val="null3"/>
              <w:jc w:val="left"/>
            </w:pPr>
            <w:r>
              <w:rPr>
                <w:rFonts w:ascii="仿宋_GB2312" w:hAnsi="仿宋_GB2312" w:cs="仿宋_GB2312" w:eastAsia="仿宋_GB2312"/>
                <w:sz w:val="24"/>
              </w:rPr>
              <w:t>道路基本保持干净整洁，无明显尘土、污水、垃圾及烟头。质量要求：</w:t>
            </w:r>
            <w:r>
              <w:rPr>
                <w:rFonts w:ascii="仿宋_GB2312" w:hAnsi="仿宋_GB2312" w:cs="仿宋_GB2312" w:eastAsia="仿宋_GB2312"/>
                <w:sz w:val="24"/>
              </w:rPr>
              <w:t>“四净、五无”。四净：路面净、树坑净、绿化带净、公共设施净。五无：无漏扫、无堆积垃圾、无泥沙积尘、无废弃砖石杂物、无积水(积雪、积冰)。</w:t>
            </w:r>
          </w:p>
          <w:p>
            <w:pPr>
              <w:pStyle w:val="null3"/>
              <w:jc w:val="left"/>
            </w:pPr>
            <w:r>
              <w:rPr>
                <w:rFonts w:ascii="仿宋_GB2312" w:hAnsi="仿宋_GB2312" w:cs="仿宋_GB2312" w:eastAsia="仿宋_GB2312"/>
                <w:sz w:val="24"/>
              </w:rPr>
              <w:t>3.2.3清扫工具及保洁工具要求</w:t>
            </w:r>
          </w:p>
          <w:p>
            <w:pPr>
              <w:pStyle w:val="null3"/>
              <w:jc w:val="left"/>
            </w:pPr>
            <w:r>
              <w:rPr>
                <w:rFonts w:ascii="仿宋_GB2312" w:hAnsi="仿宋_GB2312" w:cs="仿宋_GB2312" w:eastAsia="仿宋_GB2312"/>
                <w:sz w:val="24"/>
              </w:rPr>
              <w:t>(1)供应商作业工具要配备整齐，保洁清运车辆车体干净整洁，定期维护，每天擦拭或清洗作业工具。三轮车、扫把、夹子、防风簸箕、方锹、小扫把要自行配备齐全，正确使用工具确保清扫无死角无灰尘。公共卫生间需要专人值守，不间断清洁。</w:t>
            </w:r>
          </w:p>
          <w:p>
            <w:pPr>
              <w:pStyle w:val="null3"/>
              <w:jc w:val="left"/>
            </w:pPr>
            <w:r>
              <w:rPr>
                <w:rFonts w:ascii="仿宋_GB2312" w:hAnsi="仿宋_GB2312" w:cs="仿宋_GB2312" w:eastAsia="仿宋_GB2312"/>
                <w:sz w:val="24"/>
              </w:rPr>
              <w:t>(2)雾天、雨天、雪天以及大风、深秋季节的作业要求</w:t>
            </w:r>
          </w:p>
          <w:p>
            <w:pPr>
              <w:pStyle w:val="null3"/>
              <w:jc w:val="left"/>
            </w:pPr>
            <w:r>
              <w:rPr>
                <w:rFonts w:ascii="仿宋_GB2312" w:hAnsi="仿宋_GB2312" w:cs="仿宋_GB2312" w:eastAsia="仿宋_GB2312"/>
                <w:sz w:val="24"/>
              </w:rPr>
              <w:t>雾天：能见度低于</w:t>
            </w:r>
            <w:r>
              <w:rPr>
                <w:rFonts w:ascii="仿宋_GB2312" w:hAnsi="仿宋_GB2312" w:cs="仿宋_GB2312" w:eastAsia="仿宋_GB2312"/>
                <w:sz w:val="24"/>
              </w:rPr>
              <w:t>300米时，如处理突发事件必须配备有雾灯、警示牌等确保安全。雨天：道路上无大的积水(下水管道畅通前提下),雨停后及时清扫积水。雪天：确保人行道上无积雪，雪停后，及时将积雪处理完毕。大风：风停后及时处理白色垃圾(不含落叶季节)。落叶季节清扫：道路上无明显堆放落叶并充分利用扫地车，人车配合好。</w:t>
            </w:r>
          </w:p>
          <w:p>
            <w:pPr>
              <w:pStyle w:val="null3"/>
              <w:jc w:val="left"/>
            </w:pPr>
            <w:r>
              <w:rPr>
                <w:rFonts w:ascii="仿宋_GB2312" w:hAnsi="仿宋_GB2312" w:cs="仿宋_GB2312" w:eastAsia="仿宋_GB2312"/>
                <w:sz w:val="24"/>
              </w:rPr>
              <w:t>(3)重大接待的保洁</w:t>
            </w:r>
          </w:p>
          <w:p>
            <w:pPr>
              <w:pStyle w:val="null3"/>
              <w:jc w:val="left"/>
            </w:pPr>
            <w:r>
              <w:rPr>
                <w:rFonts w:ascii="仿宋_GB2312" w:hAnsi="仿宋_GB2312" w:cs="仿宋_GB2312" w:eastAsia="仿宋_GB2312"/>
                <w:sz w:val="24"/>
              </w:rPr>
              <w:t>接待、检查前</w:t>
            </w:r>
            <w:r>
              <w:rPr>
                <w:rFonts w:ascii="仿宋_GB2312" w:hAnsi="仿宋_GB2312" w:cs="仿宋_GB2312" w:eastAsia="仿宋_GB2312"/>
                <w:sz w:val="24"/>
              </w:rPr>
              <w:t>1个小时，增加保洁人员和设备，确保接待顺利进行。</w:t>
            </w:r>
          </w:p>
          <w:p>
            <w:pPr>
              <w:pStyle w:val="null3"/>
              <w:jc w:val="left"/>
            </w:pPr>
            <w:r>
              <w:rPr>
                <w:rFonts w:ascii="仿宋_GB2312" w:hAnsi="仿宋_GB2312" w:cs="仿宋_GB2312" w:eastAsia="仿宋_GB2312"/>
                <w:sz w:val="24"/>
              </w:rPr>
              <w:t>4、秩序</w:t>
            </w:r>
          </w:p>
          <w:p>
            <w:pPr>
              <w:pStyle w:val="null3"/>
              <w:jc w:val="left"/>
            </w:pPr>
            <w:r>
              <w:rPr>
                <w:rFonts w:ascii="仿宋_GB2312" w:hAnsi="仿宋_GB2312" w:cs="仿宋_GB2312" w:eastAsia="仿宋_GB2312"/>
                <w:sz w:val="24"/>
              </w:rPr>
              <w:t>4.1服务内容及要求：</w:t>
            </w:r>
          </w:p>
          <w:tbl>
            <w:tblPr>
              <w:tblInd w:type="dxa" w:w="480"/>
              <w:tblBorders>
                <w:top w:val="none" w:color="000000" w:sz="4"/>
                <w:left w:val="none" w:color="000000" w:sz="4"/>
                <w:bottom w:val="none" w:color="000000" w:sz="4"/>
                <w:right w:val="none" w:color="000000" w:sz="4"/>
                <w:insideH w:val="none"/>
                <w:insideV w:val="none"/>
              </w:tblBorders>
            </w:tblPr>
            <w:tblGrid>
              <w:gridCol w:w="374"/>
              <w:gridCol w:w="685"/>
              <w:gridCol w:w="1487"/>
            </w:tblGrid>
            <w:tr>
              <w:tc>
                <w:tcPr>
                  <w:tcW w:type="dxa" w:w="3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0"/>
                  </w:pPr>
                  <w:r>
                    <w:rPr>
                      <w:rFonts w:ascii="仿宋_GB2312" w:hAnsi="仿宋_GB2312" w:cs="仿宋_GB2312" w:eastAsia="仿宋_GB2312"/>
                      <w:sz w:val="24"/>
                    </w:rPr>
                    <w:t>序号</w:t>
                  </w:r>
                </w:p>
              </w:tc>
              <w:tc>
                <w:tcPr>
                  <w:tcW w:type="dxa" w:w="6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20"/>
                  </w:pPr>
                  <w:r>
                    <w:rPr>
                      <w:rFonts w:ascii="仿宋_GB2312" w:hAnsi="仿宋_GB2312" w:cs="仿宋_GB2312" w:eastAsia="仿宋_GB2312"/>
                      <w:sz w:val="24"/>
                    </w:rPr>
                    <w:t>项目</w:t>
                  </w:r>
                </w:p>
              </w:tc>
              <w:tc>
                <w:tcPr>
                  <w:tcW w:type="dxa" w:w="14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280"/>
                  </w:pPr>
                  <w:r>
                    <w:rPr>
                      <w:rFonts w:ascii="仿宋_GB2312" w:hAnsi="仿宋_GB2312" w:cs="仿宋_GB2312" w:eastAsia="仿宋_GB2312"/>
                      <w:sz w:val="24"/>
                    </w:rPr>
                    <w:t>标准要求</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1</w:t>
                  </w:r>
                </w:p>
              </w:tc>
              <w:tc>
                <w:tcPr>
                  <w:tcW w:type="dxa" w:w="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rPr>
                    <w:t>人员形象</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4"/>
                    </w:rPr>
                    <w:t>服装统一</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巡视周期</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35"/>
                  </w:pPr>
                  <w:r>
                    <w:rPr>
                      <w:rFonts w:ascii="仿宋_GB2312" w:hAnsi="仿宋_GB2312" w:cs="仿宋_GB2312" w:eastAsia="仿宋_GB2312"/>
                      <w:sz w:val="24"/>
                    </w:rPr>
                    <w:t>配备相应的安保人员每两小时巡视一次，发现问题</w:t>
                  </w:r>
                  <w:r>
                    <w:rPr>
                      <w:rFonts w:ascii="仿宋_GB2312" w:hAnsi="仿宋_GB2312" w:cs="仿宋_GB2312" w:eastAsia="仿宋_GB2312"/>
                      <w:sz w:val="24"/>
                    </w:rPr>
                    <w:t>及时上报，做好巡视记录</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正常秩序</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30"/>
                    <w:jc w:val="both"/>
                  </w:pPr>
                  <w:r>
                    <w:rPr>
                      <w:rFonts w:ascii="仿宋_GB2312" w:hAnsi="仿宋_GB2312" w:cs="仿宋_GB2312" w:eastAsia="仿宋_GB2312"/>
                      <w:sz w:val="24"/>
                    </w:rPr>
                    <w:t>维护公共秩序，文明制止劝导破坏、遛狗、溜滑、</w:t>
                  </w:r>
                  <w:r>
                    <w:rPr>
                      <w:rFonts w:ascii="仿宋_GB2312" w:hAnsi="仿宋_GB2312" w:cs="仿宋_GB2312" w:eastAsia="仿宋_GB2312"/>
                      <w:sz w:val="24"/>
                    </w:rPr>
                    <w:t>骑车、踩踏草坪、攀折花木果实等不文明行为及违</w:t>
                  </w:r>
                  <w:r>
                    <w:rPr>
                      <w:rFonts w:ascii="仿宋_GB2312" w:hAnsi="仿宋_GB2312" w:cs="仿宋_GB2312" w:eastAsia="仿宋_GB2312"/>
                      <w:sz w:val="24"/>
                    </w:rPr>
                    <w:t>规行为</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rPr>
                    <w:t>4</w:t>
                  </w:r>
                </w:p>
              </w:tc>
              <w:tc>
                <w:tcPr>
                  <w:tcW w:type="dxa" w:w="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设施管理</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4"/>
                    </w:rPr>
                    <w:t>发现后及时上报工程维修</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rPr>
                    <w:t>5</w:t>
                  </w:r>
                </w:p>
              </w:tc>
              <w:tc>
                <w:tcPr>
                  <w:tcW w:type="dxa" w:w="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rPr>
                    <w:t>突发事件处理</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24"/>
                    </w:rPr>
                    <w:t>及</w:t>
                  </w:r>
                  <w:r>
                    <w:rPr>
                      <w:rFonts w:ascii="仿宋_GB2312" w:hAnsi="仿宋_GB2312" w:cs="仿宋_GB2312" w:eastAsia="仿宋_GB2312"/>
                      <w:sz w:val="24"/>
                    </w:rPr>
                    <w:t>时</w:t>
                  </w:r>
                  <w:r>
                    <w:rPr>
                      <w:rFonts w:ascii="仿宋_GB2312" w:hAnsi="仿宋_GB2312" w:cs="仿宋_GB2312" w:eastAsia="仿宋_GB2312"/>
                      <w:sz w:val="24"/>
                    </w:rPr>
                    <w:t>到达现场</w:t>
                  </w:r>
                  <w:r>
                    <w:rPr>
                      <w:rFonts w:ascii="仿宋_GB2312" w:hAnsi="仿宋_GB2312" w:cs="仿宋_GB2312" w:eastAsia="仿宋_GB2312"/>
                      <w:sz w:val="24"/>
                    </w:rPr>
                    <w:t>配</w:t>
                  </w:r>
                  <w:r>
                    <w:rPr>
                      <w:rFonts w:ascii="仿宋_GB2312" w:hAnsi="仿宋_GB2312" w:cs="仿宋_GB2312" w:eastAsia="仿宋_GB2312"/>
                      <w:sz w:val="24"/>
                    </w:rPr>
                    <w:t>合相关单位保护现场</w:t>
                  </w:r>
                </w:p>
              </w:tc>
            </w:tr>
            <w:tr>
              <w:tc>
                <w:tcPr>
                  <w:tcW w:type="dxa" w:w="3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协助工作</w:t>
                  </w:r>
                </w:p>
              </w:tc>
              <w:tc>
                <w:tcPr>
                  <w:tcW w:type="dxa" w:w="1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210"/>
                  </w:pPr>
                  <w:r>
                    <w:rPr>
                      <w:rFonts w:ascii="仿宋_GB2312" w:hAnsi="仿宋_GB2312" w:cs="仿宋_GB2312" w:eastAsia="仿宋_GB2312"/>
                      <w:sz w:val="24"/>
                    </w:rPr>
                    <w:t>协助公安</w:t>
                  </w:r>
                  <w:r>
                    <w:rPr>
                      <w:rFonts w:ascii="仿宋_GB2312" w:hAnsi="仿宋_GB2312" w:cs="仿宋_GB2312" w:eastAsia="仿宋_GB2312"/>
                      <w:sz w:val="24"/>
                    </w:rPr>
                    <w:t>、城管等执法人员处理违法</w:t>
                  </w:r>
                </w:p>
                <w:p>
                  <w:pPr>
                    <w:pStyle w:val="null3"/>
                    <w:spacing w:before="15"/>
                    <w:ind w:left="210"/>
                  </w:pPr>
                  <w:r>
                    <w:rPr>
                      <w:rFonts w:ascii="仿宋_GB2312" w:hAnsi="仿宋_GB2312" w:cs="仿宋_GB2312" w:eastAsia="仿宋_GB2312"/>
                      <w:sz w:val="24"/>
                    </w:rPr>
                    <w:t>事件，</w:t>
                  </w:r>
                  <w:r>
                    <w:rPr>
                      <w:rFonts w:ascii="仿宋_GB2312" w:hAnsi="仿宋_GB2312" w:cs="仿宋_GB2312" w:eastAsia="仿宋_GB2312"/>
                      <w:sz w:val="24"/>
                    </w:rPr>
                    <w:t>协助</w:t>
                  </w:r>
                  <w:r>
                    <w:rPr>
                      <w:rFonts w:ascii="仿宋_GB2312" w:hAnsi="仿宋_GB2312" w:cs="仿宋_GB2312" w:eastAsia="仿宋_GB2312"/>
                      <w:sz w:val="24"/>
                    </w:rPr>
                    <w:t>城市管理局</w:t>
                  </w:r>
                  <w:r>
                    <w:rPr>
                      <w:rFonts w:ascii="仿宋_GB2312" w:hAnsi="仿宋_GB2312" w:cs="仿宋_GB2312" w:eastAsia="仿宋_GB2312"/>
                      <w:sz w:val="24"/>
                    </w:rPr>
                    <w:t>处</w:t>
                  </w:r>
                  <w:r>
                    <w:rPr>
                      <w:rFonts w:ascii="仿宋_GB2312" w:hAnsi="仿宋_GB2312" w:cs="仿宋_GB2312" w:eastAsia="仿宋_GB2312"/>
                      <w:sz w:val="24"/>
                    </w:rPr>
                    <w:t>理各方投诉</w:t>
                  </w:r>
                </w:p>
              </w:tc>
            </w:tr>
          </w:tbl>
          <w:p>
            <w:pPr>
              <w:pStyle w:val="null3"/>
              <w:jc w:val="left"/>
            </w:pPr>
            <w:r>
              <w:rPr>
                <w:rFonts w:ascii="仿宋_GB2312" w:hAnsi="仿宋_GB2312" w:cs="仿宋_GB2312" w:eastAsia="仿宋_GB2312"/>
                <w:sz w:val="24"/>
              </w:rPr>
              <w:t>5、工程设施设备维护</w:t>
            </w:r>
          </w:p>
          <w:p>
            <w:pPr>
              <w:pStyle w:val="null3"/>
              <w:jc w:val="left"/>
            </w:pPr>
            <w:r>
              <w:rPr>
                <w:rFonts w:ascii="仿宋_GB2312" w:hAnsi="仿宋_GB2312" w:cs="仿宋_GB2312" w:eastAsia="仿宋_GB2312"/>
                <w:sz w:val="24"/>
              </w:rPr>
              <w:t>5.1服务内容及要求(工程正常启用运转的设施设备):</w:t>
            </w:r>
          </w:p>
          <w:p>
            <w:pPr>
              <w:pStyle w:val="null3"/>
              <w:jc w:val="left"/>
            </w:pPr>
            <w:r>
              <w:rPr>
                <w:rFonts w:ascii="仿宋_GB2312" w:hAnsi="仿宋_GB2312" w:cs="仿宋_GB2312" w:eastAsia="仿宋_GB2312"/>
                <w:sz w:val="24"/>
              </w:rPr>
              <w:t>(1)给排水系统维护：给排水管道、阀门井、取水器、喷灌系统、喷泉喷雾、地下浇灌水池控制系统(加压泵、控制阀、控制器)、冷雾系统(加压泵、控制器、外结构、下设管道、高压喷头等),卫生间的水电易耗品(水龙头、控制阀、管件、冲水阀、灯泡、开关、控制器、电线)等维修更换。</w:t>
            </w:r>
          </w:p>
          <w:p>
            <w:pPr>
              <w:pStyle w:val="null3"/>
              <w:jc w:val="left"/>
            </w:pPr>
            <w:r>
              <w:rPr>
                <w:rFonts w:ascii="仿宋_GB2312" w:hAnsi="仿宋_GB2312" w:cs="仿宋_GB2312" w:eastAsia="仿宋_GB2312"/>
                <w:sz w:val="24"/>
              </w:rPr>
              <w:t>(2)供配电系统维护：公园内照明系统(所有路灯、庭院灯、草坪灯、景观照明)、电线线路、控制箱、变压器、配电柜、母线、电缆、仪表、视频监控、红外摄像机、广播音响、公共电子屏幕、数据线、线路板的维修更换等，高低压配电系统及高低压控制系统等。</w:t>
            </w:r>
          </w:p>
          <w:p>
            <w:pPr>
              <w:pStyle w:val="null3"/>
              <w:jc w:val="left"/>
            </w:pPr>
            <w:r>
              <w:rPr>
                <w:rFonts w:ascii="仿宋_GB2312" w:hAnsi="仿宋_GB2312" w:cs="仿宋_GB2312" w:eastAsia="仿宋_GB2312"/>
                <w:sz w:val="24"/>
              </w:rPr>
              <w:t>(3)其他设施维护(主体结构质量等问题不在服务范围内):广场、道路、道牙、游步道、停车场铺装、消防系统、公园内座椅、垃圾箱：保持园区内奖牌、标识牌、宣传栏、雕塑及其他不锈钢制品表面的清洁，使其不受氧化及其他附属设施设备的维修保养，园区设备运行维护费包括所有维修及更换费用。</w:t>
            </w:r>
          </w:p>
          <w:p>
            <w:pPr>
              <w:pStyle w:val="null3"/>
              <w:jc w:val="left"/>
            </w:pPr>
            <w:r>
              <w:rPr>
                <w:rFonts w:ascii="仿宋_GB2312" w:hAnsi="仿宋_GB2312" w:cs="仿宋_GB2312" w:eastAsia="仿宋_GB2312"/>
                <w:sz w:val="24"/>
              </w:rPr>
              <w:t>6、管线</w:t>
            </w:r>
          </w:p>
          <w:p>
            <w:pPr>
              <w:pStyle w:val="null3"/>
              <w:jc w:val="left"/>
            </w:pPr>
            <w:r>
              <w:rPr>
                <w:rFonts w:ascii="仿宋_GB2312" w:hAnsi="仿宋_GB2312" w:cs="仿宋_GB2312" w:eastAsia="仿宋_GB2312"/>
                <w:sz w:val="24"/>
              </w:rPr>
              <w:t>6.1服务内容</w:t>
            </w:r>
          </w:p>
          <w:p>
            <w:pPr>
              <w:pStyle w:val="null3"/>
              <w:jc w:val="left"/>
            </w:pPr>
            <w:r>
              <w:rPr>
                <w:rFonts w:ascii="仿宋_GB2312" w:hAnsi="仿宋_GB2312" w:cs="仿宋_GB2312" w:eastAsia="仿宋_GB2312"/>
                <w:sz w:val="24"/>
              </w:rPr>
              <w:t>引水管线的管理维护。引水管线主要包括长安区皂河水源补给工程管线，包含管道、阀门、检查井、阀门井等，其起点位于航天南路与包茂高速交叉点终点位于局连村附近的皂河源头，全长</w:t>
            </w:r>
            <w:r>
              <w:rPr>
                <w:rFonts w:ascii="仿宋_GB2312" w:hAnsi="仿宋_GB2312" w:cs="仿宋_GB2312" w:eastAsia="仿宋_GB2312"/>
                <w:sz w:val="24"/>
              </w:rPr>
              <w:t>5.1km,管径为DN600,材质为球墨铸铁管。</w:t>
            </w:r>
          </w:p>
          <w:p>
            <w:pPr>
              <w:pStyle w:val="null3"/>
              <w:jc w:val="left"/>
            </w:pPr>
            <w:r>
              <w:rPr>
                <w:rFonts w:ascii="仿宋_GB2312" w:hAnsi="仿宋_GB2312" w:cs="仿宋_GB2312" w:eastAsia="仿宋_GB2312"/>
                <w:sz w:val="24"/>
              </w:rPr>
              <w:t>6.2服务要求</w:t>
            </w:r>
          </w:p>
          <w:p>
            <w:pPr>
              <w:pStyle w:val="null3"/>
              <w:jc w:val="left"/>
            </w:pPr>
            <w:r>
              <w:rPr>
                <w:rFonts w:ascii="仿宋_GB2312" w:hAnsi="仿宋_GB2312" w:cs="仿宋_GB2312" w:eastAsia="仿宋_GB2312"/>
                <w:sz w:val="24"/>
              </w:rPr>
              <w:t>(1)定期检查巡视线路，在日常巡视中发现管线沿线渗水、漏水等异常情况，或由于突发事件引起的管线渗水、漏水，应及时上报。</w:t>
            </w:r>
          </w:p>
          <w:p>
            <w:pPr>
              <w:pStyle w:val="null3"/>
              <w:jc w:val="left"/>
            </w:pPr>
            <w:r>
              <w:rPr>
                <w:rFonts w:ascii="仿宋_GB2312" w:hAnsi="仿宋_GB2312" w:cs="仿宋_GB2312" w:eastAsia="仿宋_GB2312"/>
                <w:sz w:val="24"/>
              </w:rPr>
              <w:t>(2)日常维护，定期对管道、阀门、检查井、阀门井等进行日常维护保养，包括但不限于管道及管件防腐、防蚀、防冻，阀门常开或常闭状态的检查和维护保养，检查井、阀门井的清理和维护保养等。</w:t>
            </w:r>
          </w:p>
          <w:p>
            <w:pPr>
              <w:pStyle w:val="null3"/>
              <w:jc w:val="left"/>
            </w:pPr>
            <w:r>
              <w:rPr>
                <w:rFonts w:ascii="仿宋_GB2312" w:hAnsi="仿宋_GB2312" w:cs="仿宋_GB2312" w:eastAsia="仿宋_GB2312"/>
                <w:sz w:val="24"/>
              </w:rPr>
              <w:t>(3)停水、供水、打压试水，如遇停水、供水、打压试水情况，提前按照要求检查检修线路，包括阀门启闭检修、沿线管道管件及检查井阀门井的检修等。</w:t>
            </w:r>
          </w:p>
          <w:p>
            <w:pPr>
              <w:pStyle w:val="null3"/>
              <w:jc w:val="left"/>
            </w:pPr>
            <w:r>
              <w:rPr>
                <w:rFonts w:ascii="仿宋_GB2312" w:hAnsi="仿宋_GB2312" w:cs="仿宋_GB2312" w:eastAsia="仿宋_GB2312"/>
                <w:sz w:val="24"/>
              </w:rPr>
              <w:t>7客服</w:t>
            </w:r>
          </w:p>
          <w:p>
            <w:pPr>
              <w:pStyle w:val="null3"/>
              <w:jc w:val="left"/>
            </w:pPr>
            <w:r>
              <w:rPr>
                <w:rFonts w:ascii="仿宋_GB2312" w:hAnsi="仿宋_GB2312" w:cs="仿宋_GB2312" w:eastAsia="仿宋_GB2312"/>
                <w:sz w:val="24"/>
              </w:rPr>
              <w:t>7.1服务内容及要求：</w:t>
            </w:r>
          </w:p>
          <w:p>
            <w:pPr>
              <w:pStyle w:val="null3"/>
              <w:jc w:val="left"/>
            </w:pPr>
            <w:r>
              <w:rPr>
                <w:rFonts w:ascii="仿宋_GB2312" w:hAnsi="仿宋_GB2312" w:cs="仿宋_GB2312" w:eastAsia="仿宋_GB2312"/>
                <w:sz w:val="24"/>
              </w:rPr>
              <w:t>(1)巡回检查保洁，即：检查按工作流程对相关区域完成规定的清扫保洁作业后，应对易产生污染的区域(如人员进出频次较高、聚集人数多的通道、公共卫生间等)进行重点巡回保洁，保持良好的环境卫生状况。承包区域可视范围内的公共绿地、树坑的环卫保洁、垃圾箱及野广告清理工作。承包区域内垃圾箱、保洁工具箱的保洁清洗及周边垃圾收集，区域内冬季消雪除冰及后续清理处理工作。区域内公共卫生间的管理工作，包含看护、保洁、清污等。</w:t>
            </w:r>
          </w:p>
          <w:p>
            <w:pPr>
              <w:pStyle w:val="null3"/>
              <w:jc w:val="left"/>
            </w:pPr>
            <w:r>
              <w:rPr>
                <w:rFonts w:ascii="仿宋_GB2312" w:hAnsi="仿宋_GB2312" w:cs="仿宋_GB2312" w:eastAsia="仿宋_GB2312"/>
                <w:sz w:val="24"/>
              </w:rPr>
              <w:t>(2)巡回检查安保，即：检查按工作流程对相关区域完成规定安保工作，巡查安保人员是否按规定在岗，安保人员是否做好园区及办公区域安全保障工作；根据采购人不同区域的不同特点，做好防火、防盗、防破坏工作，如遇紧急事件，及时向相关领导汇报。</w:t>
            </w:r>
          </w:p>
          <w:p>
            <w:pPr>
              <w:pStyle w:val="null3"/>
              <w:jc w:val="left"/>
            </w:pPr>
            <w:r>
              <w:rPr>
                <w:rFonts w:ascii="仿宋_GB2312" w:hAnsi="仿宋_GB2312" w:cs="仿宋_GB2312" w:eastAsia="仿宋_GB2312"/>
                <w:sz w:val="24"/>
              </w:rPr>
              <w:t>(3)巡回检查河道，即：检查按工作流程对相关区域完成规定的河道清理工作，负责保洁范围内河道的日常巡查工作，制止单位或个人向河道内倾倒垃圾杂物；遵纪守法，文明作业。</w:t>
            </w:r>
          </w:p>
          <w:p>
            <w:pPr>
              <w:pStyle w:val="null3"/>
              <w:jc w:val="left"/>
            </w:pPr>
            <w:r>
              <w:rPr>
                <w:rFonts w:ascii="仿宋_GB2312" w:hAnsi="仿宋_GB2312" w:cs="仿宋_GB2312" w:eastAsia="仿宋_GB2312"/>
                <w:sz w:val="24"/>
              </w:rPr>
              <w:t>(4)巡回检查工程设施，即：检查按工作流程对相关区域完成规定的工程设施设备维护工作，检查设施设备是否完好，如有问题第一时间联系相关负责人维修解决。</w:t>
            </w:r>
          </w:p>
          <w:p>
            <w:pPr>
              <w:pStyle w:val="null3"/>
              <w:jc w:val="left"/>
            </w:pPr>
            <w:r>
              <w:rPr>
                <w:rFonts w:ascii="仿宋_GB2312" w:hAnsi="仿宋_GB2312" w:cs="仿宋_GB2312" w:eastAsia="仿宋_GB2312"/>
                <w:sz w:val="24"/>
              </w:rPr>
              <w:t>(5)巡回检查服务区域安全，客服人员巡查时检查是否存在安全隐患，如有，第一时间联系相关负责人解决。</w:t>
            </w:r>
          </w:p>
          <w:p>
            <w:pPr>
              <w:pStyle w:val="null3"/>
              <w:jc w:val="left"/>
            </w:pPr>
            <w:r>
              <w:rPr>
                <w:rFonts w:ascii="仿宋_GB2312" w:hAnsi="仿宋_GB2312" w:cs="仿宋_GB2312" w:eastAsia="仿宋_GB2312"/>
                <w:sz w:val="24"/>
              </w:rPr>
              <w:t>(6)客服人员制定巡回检查表，明确检查项目及内容，按照检查表自查维护运营工作，采购人采用不定期抽查的形式进行检查。</w:t>
            </w:r>
          </w:p>
          <w:p>
            <w:pPr>
              <w:pStyle w:val="null3"/>
              <w:jc w:val="left"/>
            </w:pPr>
            <w:r>
              <w:rPr>
                <w:rFonts w:ascii="仿宋_GB2312" w:hAnsi="仿宋_GB2312" w:cs="仿宋_GB2312" w:eastAsia="仿宋_GB2312"/>
                <w:sz w:val="24"/>
              </w:rPr>
              <w:t>8、人员要求</w:t>
            </w:r>
          </w:p>
          <w:p>
            <w:pPr>
              <w:pStyle w:val="null3"/>
              <w:jc w:val="left"/>
            </w:pPr>
            <w:r>
              <w:rPr>
                <w:rFonts w:ascii="仿宋_GB2312" w:hAnsi="仿宋_GB2312" w:cs="仿宋_GB2312" w:eastAsia="仿宋_GB2312"/>
                <w:sz w:val="24"/>
              </w:rPr>
              <w:t>结合公园内部设施管理的实际需要，全天保洁；保安人员：园区设置固定岗、监控岗及巡逻岗，需</w:t>
            </w:r>
            <w:r>
              <w:rPr>
                <w:rFonts w:ascii="仿宋_GB2312" w:hAnsi="仿宋_GB2312" w:cs="仿宋_GB2312" w:eastAsia="仿宋_GB2312"/>
                <w:sz w:val="24"/>
              </w:rPr>
              <w:t>24小时在岗值守，维护园区内财产安全和公共秩序等内容。保安人员统一配置工装，另需配置雨衣、雨鞋。需配备巡逻车、防暴盾牌、捕狗器等设备器材。</w:t>
            </w:r>
          </w:p>
          <w:p>
            <w:pPr>
              <w:pStyle w:val="null3"/>
              <w:jc w:val="left"/>
            </w:pPr>
            <w:r>
              <w:rPr>
                <w:rFonts w:ascii="仿宋_GB2312" w:hAnsi="仿宋_GB2312" w:cs="仿宋_GB2312" w:eastAsia="仿宋_GB2312"/>
                <w:sz w:val="24"/>
              </w:rPr>
              <w:t>9、设备要求</w:t>
            </w:r>
          </w:p>
          <w:p>
            <w:pPr>
              <w:pStyle w:val="null3"/>
              <w:jc w:val="left"/>
            </w:pPr>
            <w:r>
              <w:rPr>
                <w:rFonts w:ascii="仿宋_GB2312" w:hAnsi="仿宋_GB2312" w:cs="仿宋_GB2312" w:eastAsia="仿宋_GB2312"/>
                <w:sz w:val="24"/>
              </w:rPr>
              <w:t>机械设备要求：巡逻车、绿化车、洒水车、扫地机、落叶吹风机、打药车、转运垃圾车、打捞设备、船舶</w:t>
            </w:r>
            <w:r>
              <w:rPr>
                <w:rFonts w:ascii="仿宋_GB2312" w:hAnsi="仿宋_GB2312" w:cs="仿宋_GB2312" w:eastAsia="仿宋_GB2312"/>
                <w:sz w:val="24"/>
              </w:rPr>
              <w:t>(筏、艇)、其他车辆机械等。</w:t>
            </w:r>
          </w:p>
          <w:p>
            <w:pPr>
              <w:pStyle w:val="null3"/>
              <w:jc w:val="left"/>
            </w:pPr>
            <w:r>
              <w:rPr>
                <w:rFonts w:ascii="仿宋_GB2312" w:hAnsi="仿宋_GB2312" w:cs="仿宋_GB2312" w:eastAsia="仿宋_GB2312"/>
                <w:sz w:val="24"/>
              </w:rPr>
              <w:t>五、商务要求</w:t>
            </w:r>
          </w:p>
          <w:p>
            <w:pPr>
              <w:pStyle w:val="null3"/>
              <w:jc w:val="left"/>
            </w:pPr>
            <w:r>
              <w:rPr>
                <w:rFonts w:ascii="仿宋_GB2312" w:hAnsi="仿宋_GB2312" w:cs="仿宋_GB2312" w:eastAsia="仿宋_GB2312"/>
                <w:sz w:val="24"/>
              </w:rPr>
              <w:t>1、供应商须购买公众责任保险。供应商应承担管理运维范围内自身安全责任，以及由于管理运维涉及的第三方安全责任。</w:t>
            </w:r>
          </w:p>
          <w:p>
            <w:pPr>
              <w:pStyle w:val="null3"/>
              <w:jc w:val="left"/>
            </w:pPr>
            <w:r>
              <w:rPr>
                <w:rFonts w:ascii="仿宋_GB2312" w:hAnsi="仿宋_GB2312" w:cs="仿宋_GB2312" w:eastAsia="仿宋_GB2312"/>
                <w:sz w:val="24"/>
              </w:rPr>
              <w:t>2、投标报价：本项目服务费采用包干制，一次核定，不受市场波动影响，盈余或亏损由中标方享有或承担：服务费用包括：人工费(含保洁，各工种维修人员、安保人员等相关工资、社保、保险、福利等)、管理费、机械费(使用船舶(竹艇)、车辆、机械设备的费用)、建筑物及设备设施的小型维护维修费、垃圾滑运及管理费、农药费、油料费、肥料费、社会保险费、库房租赁费、招标代理服务费、利润、税金、风险等一切相关费用(另：水电费据实结算)。</w:t>
            </w:r>
          </w:p>
          <w:p>
            <w:pPr>
              <w:pStyle w:val="null3"/>
              <w:jc w:val="left"/>
            </w:pPr>
            <w:r>
              <w:rPr>
                <w:rFonts w:ascii="仿宋_GB2312" w:hAnsi="仿宋_GB2312" w:cs="仿宋_GB2312" w:eastAsia="仿宋_GB2312"/>
                <w:sz w:val="24"/>
              </w:rPr>
              <w:t>3、注意事项：服务区域范围内的河道清保洁、绿化服务、安全工作、秩序维护、工程设施设备维修维护等一切工作均属于供应商服务的范畴。请供应商充分考虑合理报价。</w:t>
            </w:r>
          </w:p>
          <w:p>
            <w:pPr>
              <w:pStyle w:val="null3"/>
              <w:jc w:val="left"/>
            </w:pPr>
            <w:r>
              <w:rPr>
                <w:rFonts w:ascii="仿宋_GB2312" w:hAnsi="仿宋_GB2312" w:cs="仿宋_GB2312" w:eastAsia="仿宋_GB2312"/>
                <w:sz w:val="24"/>
              </w:rPr>
              <w:t>4、付款方式及时限：依据西安市长安区水务局皂河、樊川公园二期运维服务绩效考核管理办法考核，合同款按季度分4次进行支付，每季度开始前五个工作日(节假日顺延)内，中标方向采购方提出付款申请(附费用明细)并按金额开具正式发票，交给采购方。采购方于中标方送达合格发票十五日(节假日顺延)内支付本季度服务费。</w:t>
            </w:r>
          </w:p>
          <w:p>
            <w:pPr>
              <w:pStyle w:val="null3"/>
              <w:jc w:val="left"/>
            </w:pPr>
            <w:r>
              <w:rPr>
                <w:rFonts w:ascii="仿宋_GB2312" w:hAnsi="仿宋_GB2312" w:cs="仿宋_GB2312" w:eastAsia="仿宋_GB2312"/>
                <w:sz w:val="24"/>
              </w:rPr>
              <w:t>六、质量标准及考核办法</w:t>
            </w:r>
          </w:p>
          <w:p>
            <w:pPr>
              <w:pStyle w:val="null3"/>
              <w:jc w:val="left"/>
            </w:pPr>
            <w:r>
              <w:rPr>
                <w:rFonts w:ascii="仿宋_GB2312" w:hAnsi="仿宋_GB2312" w:cs="仿宋_GB2312" w:eastAsia="仿宋_GB2312"/>
                <w:sz w:val="24"/>
              </w:rPr>
              <w:t>1、公园、广场管理：按照《西安市公园条例》执行。</w:t>
            </w:r>
          </w:p>
          <w:p>
            <w:pPr>
              <w:pStyle w:val="null3"/>
              <w:jc w:val="left"/>
            </w:pPr>
            <w:r>
              <w:rPr>
                <w:rFonts w:ascii="仿宋_GB2312" w:hAnsi="仿宋_GB2312" w:cs="仿宋_GB2312" w:eastAsia="仿宋_GB2312"/>
                <w:sz w:val="24"/>
              </w:rPr>
              <w:t>2、公厕管理：按照《西安市城市公共厕所管理标准》执行。</w:t>
            </w:r>
          </w:p>
          <w:p>
            <w:pPr>
              <w:pStyle w:val="null3"/>
              <w:jc w:val="left"/>
            </w:pPr>
            <w:r>
              <w:rPr>
                <w:rFonts w:ascii="仿宋_GB2312" w:hAnsi="仿宋_GB2312" w:cs="仿宋_GB2312" w:eastAsia="仿宋_GB2312"/>
                <w:sz w:val="24"/>
              </w:rPr>
              <w:t>3、绿化养护：按照《西安市绿化养护管理标准》执行。</w:t>
            </w:r>
          </w:p>
          <w:p>
            <w:pPr>
              <w:pStyle w:val="null3"/>
              <w:jc w:val="left"/>
            </w:pPr>
            <w:r>
              <w:rPr>
                <w:rFonts w:ascii="仿宋_GB2312" w:hAnsi="仿宋_GB2312" w:cs="仿宋_GB2312" w:eastAsia="仿宋_GB2312"/>
                <w:sz w:val="24"/>
              </w:rPr>
              <w:t>4、生产物资(肥料、农药、油漆、清洁剂等)所选材料必须保证质量可靠，符合国家和长安区相关标准，满足使用要求。</w:t>
            </w:r>
          </w:p>
          <w:p>
            <w:pPr>
              <w:pStyle w:val="null3"/>
              <w:jc w:val="left"/>
            </w:pPr>
            <w:r>
              <w:rPr>
                <w:rFonts w:ascii="仿宋_GB2312" w:hAnsi="仿宋_GB2312" w:cs="仿宋_GB2312" w:eastAsia="仿宋_GB2312"/>
                <w:sz w:val="24"/>
              </w:rPr>
              <w:t>5、所使用机械设备应符合国家有关规范和标准。</w:t>
            </w:r>
          </w:p>
          <w:p>
            <w:pPr>
              <w:pStyle w:val="null3"/>
              <w:jc w:val="left"/>
            </w:pPr>
            <w:r>
              <w:rPr>
                <w:rFonts w:ascii="仿宋_GB2312" w:hAnsi="仿宋_GB2312" w:cs="仿宋_GB2312" w:eastAsia="仿宋_GB2312"/>
                <w:sz w:val="24"/>
              </w:rPr>
              <w:t>6、备有物资仓库，生产物资及设备需满足日常作业的需求并满足突发事件应急需求储备。</w:t>
            </w:r>
          </w:p>
          <w:p>
            <w:pPr>
              <w:pStyle w:val="null3"/>
              <w:jc w:val="left"/>
            </w:pPr>
            <w:r>
              <w:rPr>
                <w:rFonts w:ascii="仿宋_GB2312" w:hAnsi="仿宋_GB2312" w:cs="仿宋_GB2312" w:eastAsia="仿宋_GB2312"/>
                <w:sz w:val="24"/>
              </w:rPr>
              <w:t>7、物资仓库需满足国家有关规定和标准，杜绝安全隐患。</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2025年11月22日至2026年11月21日(实际以合同签订为准)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1、质量验收标准：各项具体工作的质量标准和作业规范，符合国家法律法规的规定与相关技术标准。 2、验收依据： 2.1采购文件、投标文件、澄清表（函）； 2.2本合同及附件文本； 2.3国家相应的标准、规范。 3、质量验收标准 4、双方拟定的其他条款。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西安市长安区水务局皂河、樊川公园二期运维服务绩效考核管理办法考核，合同款按季度分4次进行支付，每季度开始前五个工作日(节假日顺延)内，中标方向采购方提出付款申请(附费用明细)并按金额开具正式发票，交给采购方。采购方于中标方送达合格发票十五日(节假日顺延)内支付本季度服务费。第一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根据合同，按照《中华人民共和国民法典》中的相关条款执行。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供应商应为中小微企业或监狱企业或残疾人福利性单位。2.本项目合同包1采购标的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投标人资格证明文件模版.docx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tc>
        <w:tc>
          <w:tcPr>
            <w:tcW w:type="dxa" w:w="1661"/>
          </w:tcPr>
          <w:p>
            <w:pPr>
              <w:pStyle w:val="null3"/>
            </w:pPr>
            <w:r>
              <w:rPr>
                <w:rFonts w:ascii="仿宋_GB2312" w:hAnsi="仿宋_GB2312" w:cs="仿宋_GB2312" w:eastAsia="仿宋_GB2312"/>
              </w:rPr>
              <w:t>投标人资格证明文件模版.docx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供应商参加政府采购活动承诺书.docx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投标人资格证明文件模版.docx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tc>
        <w:tc>
          <w:tcPr>
            <w:tcW w:type="dxa" w:w="1661"/>
          </w:tcPr>
          <w:p>
            <w:pPr>
              <w:pStyle w:val="null3"/>
            </w:pPr>
            <w:r>
              <w:rPr>
                <w:rFonts w:ascii="仿宋_GB2312" w:hAnsi="仿宋_GB2312" w:cs="仿宋_GB2312" w:eastAsia="仿宋_GB2312"/>
              </w:rPr>
              <w:t>投标人资格证明文件模版.docx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投标人资格证明文件模版.docx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投标人资格证明文件模版.docx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投标人资格证明文件模版.docx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投标人资格证明文件模版.docx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w:t>
            </w:r>
          </w:p>
        </w:tc>
        <w:tc>
          <w:tcPr>
            <w:tcW w:type="dxa" w:w="1661"/>
          </w:tcPr>
          <w:p>
            <w:pPr>
              <w:pStyle w:val="null3"/>
            </w:pPr>
            <w:r>
              <w:rPr>
                <w:rFonts w:ascii="仿宋_GB2312" w:hAnsi="仿宋_GB2312" w:cs="仿宋_GB2312" w:eastAsia="仿宋_GB2312"/>
              </w:rPr>
              <w:t>投标人资格证明文件模版.docx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投标人资格证明文件模版.docx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投标人资格证明文件模版.docx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供应商参加政府采购活动承诺书.docx 开标一览表.docx 开标一览表 投标函 费用组成明细表.docx 标的清单 投标文件封面 投标人资格证明文件模版.docx 技术、合同条款偏离表.docx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开标一览表.docx 开标一览表 投标函 费用组成明细表.docx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按照招标文件格式编写内容齐全、无缺漏项</w:t>
            </w:r>
          </w:p>
        </w:tc>
        <w:tc>
          <w:tcPr>
            <w:tcW w:type="dxa" w:w="1661"/>
          </w:tcPr>
          <w:p>
            <w:pPr>
              <w:pStyle w:val="null3"/>
            </w:pPr>
            <w:r>
              <w:rPr>
                <w:rFonts w:ascii="仿宋_GB2312" w:hAnsi="仿宋_GB2312" w:cs="仿宋_GB2312" w:eastAsia="仿宋_GB2312"/>
              </w:rPr>
              <w:t>供应商参加政府采购活动承诺书.docx 开标一览表.docx 开标一览表 投标方案.docx 投标函 费用组成明细表.docx 标的清单 投标文件封面 投标人资格证明文件模版.docx 技术、合同条款偏离表.docx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投标文件封面 技术、合同条款偏离表.docx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遵循公平竞争的原则，没有弄虚作假、恶意串通或妨碍其他投标人的竞争行为，损害招标人或者其他投标人的合法权益。</w:t>
            </w:r>
          </w:p>
        </w:tc>
        <w:tc>
          <w:tcPr>
            <w:tcW w:type="dxa" w:w="1661"/>
          </w:tcPr>
          <w:p>
            <w:pPr>
              <w:pStyle w:val="null3"/>
            </w:pPr>
            <w:r>
              <w:rPr>
                <w:rFonts w:ascii="仿宋_GB2312" w:hAnsi="仿宋_GB2312" w:cs="仿宋_GB2312" w:eastAsia="仿宋_GB2312"/>
              </w:rPr>
              <w:t>供应商参加政府采购活动承诺书.docx 开标一览表.docx 开标一览表 投标方案.docx 投标函 费用组成明细表.docx 标的清单 投标文件封面 投标人资格证明文件模版.docx 技术、合同条款偏离表.docx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供应商参加政府采购活动承诺书.docx 开标一览表.docx 开标一览表 投标方案.docx 中小企业声明函 投标人资格证明文件模版.docx 技术、合同条款偏离表.docx 投标函 残疾人福利性单位声明函 费用组成明细表.docx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投标人对本项目背景、项目需求等响应方案</w:t>
            </w:r>
          </w:p>
        </w:tc>
        <w:tc>
          <w:tcPr>
            <w:tcW w:type="dxa" w:w="2492"/>
          </w:tcPr>
          <w:p>
            <w:pPr>
              <w:pStyle w:val="null3"/>
            </w:pPr>
            <w:r>
              <w:rPr>
                <w:rFonts w:ascii="仿宋_GB2312" w:hAnsi="仿宋_GB2312" w:cs="仿宋_GB2312" w:eastAsia="仿宋_GB2312"/>
              </w:rPr>
              <w:t>投标人对本项目背景、项目需求等理解全面、准确，符合本项目服务总体要求。按其响应程度赋分。(8分) ①方案完整、科学合理可行，清晰明确，针对性强，计8分； ②方案完整、可行，具有针对性，计6分； ③方案较完整、可行，具有一定针对性，计4分； ④方案较完整、可行，无针对性计2分； ⑤未提供的不计分。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根据对本项目背景、现状、目标、内容和要求的理解情况，提供整体运维服务方案，服务方案全面、详细，包括但不限于：服务范围、服务要求，考核等内容。按其响应程度赋分。(8分) ①方案完整、科学合理可行，清晰明确，针对性强，计8分； ②方案完整、可行，具有针对性，计6分； ③方案较完整、可行，具有一定针对性，计4分； ④方案较完整、可行，无针对性计2分； ⑤未提供的不计分。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运营维护作业工作组织方案及应急预案</w:t>
            </w:r>
          </w:p>
        </w:tc>
        <w:tc>
          <w:tcPr>
            <w:tcW w:type="dxa" w:w="2492"/>
          </w:tcPr>
          <w:p>
            <w:pPr>
              <w:pStyle w:val="null3"/>
            </w:pPr>
            <w:r>
              <w:rPr>
                <w:rFonts w:ascii="仿宋_GB2312" w:hAnsi="仿宋_GB2312" w:cs="仿宋_GB2312" w:eastAsia="仿宋_GB2312"/>
              </w:rPr>
              <w:t>运营维护作业工作组织方案及应急预案切实合理有效(应急方案包括防旱、防涝、雨雪天气、消防等突发事件)。按其响应程度赋分。(8分) ①方案完整、科学合理可行，清晰明确，针对性强，计8分； ②方案完整、可行，具有针对性，计6分； ③方案较完整、可行，具有一定针对性，计4分； ④方案较完整、可行，无针对性计2分； ⑤未提供的不计分。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运营维护服务方案所投入的维护设备机具配置</w:t>
            </w:r>
          </w:p>
        </w:tc>
        <w:tc>
          <w:tcPr>
            <w:tcW w:type="dxa" w:w="2492"/>
          </w:tcPr>
          <w:p>
            <w:pPr>
              <w:pStyle w:val="null3"/>
            </w:pPr>
            <w:r>
              <w:rPr>
                <w:rFonts w:ascii="仿宋_GB2312" w:hAnsi="仿宋_GB2312" w:cs="仿宋_GB2312" w:eastAsia="仿宋_GB2312"/>
              </w:rPr>
              <w:t>运营维护服务方案所投入的维护设备机具配置。按其响应程度赋分。(8分) ①配置完整、科学合理可行，清晰、针对性强，计8分； ②配置完整、可行，有针对性，计6分； ③配置较完整、可行，有一定针对性，计4分； ④配置较完整、可行，无针对性计2分； ⑤未提供的不计分。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运营维护服务质量保障措施</w:t>
            </w:r>
          </w:p>
        </w:tc>
        <w:tc>
          <w:tcPr>
            <w:tcW w:type="dxa" w:w="2492"/>
          </w:tcPr>
          <w:p>
            <w:pPr>
              <w:pStyle w:val="null3"/>
            </w:pPr>
            <w:r>
              <w:rPr>
                <w:rFonts w:ascii="仿宋_GB2312" w:hAnsi="仿宋_GB2312" w:cs="仿宋_GB2312" w:eastAsia="仿宋_GB2312"/>
              </w:rPr>
              <w:t>有完整、可行、合理的运营维护服务质量保障措施。按其响应程度赋分。(8分) ①措施完整、科学合理可行，清晰明确，针对性强，计8分； ②措施完整、可行，具有针对性，计6分； ③措施较完整、可行，具有一定针对性，计4分； ④措施较完整、可行，无针对性计2分； ⑤未提供的不计分。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运营维护服务安全保障措施</w:t>
            </w:r>
          </w:p>
        </w:tc>
        <w:tc>
          <w:tcPr>
            <w:tcW w:type="dxa" w:w="2492"/>
          </w:tcPr>
          <w:p>
            <w:pPr>
              <w:pStyle w:val="null3"/>
            </w:pPr>
            <w:r>
              <w:rPr>
                <w:rFonts w:ascii="仿宋_GB2312" w:hAnsi="仿宋_GB2312" w:cs="仿宋_GB2312" w:eastAsia="仿宋_GB2312"/>
              </w:rPr>
              <w:t>有完整、可行、合理的运营维护服务安全保障措施。按其响应程度赋分。(8分) ①措施完整、科学合理可行，清晰明确，针对性强，计8分； ②措施完整、可行，具有针对性，计6分； ③措施较完整、可行，具有一定针对性，计4分； ④措施较完整、可行，无针对性计2分； ⑤未提供的不计分。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完整的内部质量管理制度</w:t>
            </w:r>
          </w:p>
        </w:tc>
        <w:tc>
          <w:tcPr>
            <w:tcW w:type="dxa" w:w="2492"/>
          </w:tcPr>
          <w:p>
            <w:pPr>
              <w:pStyle w:val="null3"/>
            </w:pPr>
            <w:r>
              <w:rPr>
                <w:rFonts w:ascii="仿宋_GB2312" w:hAnsi="仿宋_GB2312" w:cs="仿宋_GB2312" w:eastAsia="仿宋_GB2312"/>
              </w:rPr>
              <w:t>有完整的内部质量管理制度。按其响应程度赋分。(8分) ①措施完整、科学合理可行，清晰明确，针对性强，计8分； ②措施完整、可行，具有针对性，计6分； ③措施较完整、可行，具有一定针对性，计4分； ④措施较完整、可行，无针对性计2分； ⑤未提供的不计分。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针对本项目情况有切实可行的检查考核体系</w:t>
            </w:r>
          </w:p>
        </w:tc>
        <w:tc>
          <w:tcPr>
            <w:tcW w:type="dxa" w:w="2492"/>
          </w:tcPr>
          <w:p>
            <w:pPr>
              <w:pStyle w:val="null3"/>
            </w:pPr>
            <w:r>
              <w:rPr>
                <w:rFonts w:ascii="仿宋_GB2312" w:hAnsi="仿宋_GB2312" w:cs="仿宋_GB2312" w:eastAsia="仿宋_GB2312"/>
              </w:rPr>
              <w:t>针对本项目情况有切实可行的检查考核体系，确保项目实施符合采购人考核标准和要求。按其响应程度赋分(8分) ①措施完整、科学合理可行、清晰明确，针对性强，计8分； ②措施完整、可行，有针对性，计6分； ③措施较完整、可行，有一定针对性，计4分； ④措施较完整、可行，无针对性计2分； ⑤未提供的不计分。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运营维护人员数量</w:t>
            </w:r>
          </w:p>
        </w:tc>
        <w:tc>
          <w:tcPr>
            <w:tcW w:type="dxa" w:w="2492"/>
          </w:tcPr>
          <w:p>
            <w:pPr>
              <w:pStyle w:val="null3"/>
            </w:pPr>
            <w:r>
              <w:rPr>
                <w:rFonts w:ascii="仿宋_GB2312" w:hAnsi="仿宋_GB2312" w:cs="仿宋_GB2312" w:eastAsia="仿宋_GB2312"/>
              </w:rPr>
              <w:t>运营维护人员数量在20人以上者得4分；运营维护人员数量在16-20人者得2分；运营维护人员数量在11-15人者得1分；运营维护人员数量在10人及以下者不得分。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运营维护服务各类专业技术人员配置</w:t>
            </w:r>
          </w:p>
        </w:tc>
        <w:tc>
          <w:tcPr>
            <w:tcW w:type="dxa" w:w="2492"/>
          </w:tcPr>
          <w:p>
            <w:pPr>
              <w:pStyle w:val="null3"/>
            </w:pPr>
            <w:r>
              <w:rPr>
                <w:rFonts w:ascii="仿宋_GB2312" w:hAnsi="仿宋_GB2312" w:cs="仿宋_GB2312" w:eastAsia="仿宋_GB2312"/>
              </w:rPr>
              <w:t>运营维护服务各类专业技术人员配置合理，具有相应的技术证书。 ①配备合理、专业齐全、分工明确、专业技术实力强、经验丰富得6分； ②配备专业较齐全，专业技术实力及经验较丰富得4分； ③人员配备一般得3分； ④人员配备基本满足招标文件要求得2分； ⑤不满足采购需求或缺项得0分。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对交付时间内质量、人员、后期服务的响应时间及配合程度等作出实质性承诺</w:t>
            </w:r>
          </w:p>
        </w:tc>
        <w:tc>
          <w:tcPr>
            <w:tcW w:type="dxa" w:w="2492"/>
          </w:tcPr>
          <w:p>
            <w:pPr>
              <w:pStyle w:val="null3"/>
            </w:pPr>
            <w:r>
              <w:rPr>
                <w:rFonts w:ascii="仿宋_GB2312" w:hAnsi="仿宋_GB2312" w:cs="仿宋_GB2312" w:eastAsia="仿宋_GB2312"/>
              </w:rPr>
              <w:t>完全承诺招标文件和合同条款的要求，对交付时间内质量、人员、后期服务的响应时间及配合程度等作出实质性承诺。 ①承诺内容可操作性强、细节描述详细、完整优越得10分； ②有较强的操作性，承诺内容良好得8分； ③承诺内容一般得4分；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提供2021年1月1日至今(以合同签订时间为准)类似项目业绩，并得到业主好评者，每提供一份得3分，满分6分。 备注：提供合同协议书及业主评价相关资料，合同需要体现相关的项目服务内容。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技术、合同条款偏离表.docx</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有效最低报价为评标基准价，其价格分为满分10分。其他投标人的价格分统一按照下列公式计算:报价得分=(有效最低投标报价/有效投标报价)x10。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详见附件：投标人资格证明文件模版.docx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详见附件：技术、合同条款偏离表.docx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