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B50BF">
      <w:pPr>
        <w:pStyle w:val="2"/>
        <w:keepNext/>
        <w:keepLines w:val="0"/>
        <w:pageBreakBefore w:val="0"/>
        <w:widowControl/>
        <w:shd w:val="clear"/>
        <w:kinsoku/>
        <w:wordWrap/>
        <w:overflowPunct/>
        <w:topLinePunct w:val="0"/>
        <w:autoSpaceDE/>
        <w:autoSpaceDN/>
        <w:bidi w:val="0"/>
        <w:adjustRightInd w:val="0"/>
        <w:snapToGrid w:val="0"/>
        <w:textAlignment w:val="auto"/>
        <w:rPr>
          <w:rFonts w:hint="default" w:ascii="Times New Roman" w:hAnsi="Times New Roman" w:eastAsia="仿宋" w:cs="Times New Roman"/>
          <w:b/>
          <w:bCs w:val="0"/>
          <w:color w:val="auto"/>
          <w:highlight w:val="none"/>
        </w:rPr>
      </w:pPr>
      <w:r>
        <w:rPr>
          <w:rFonts w:hint="default" w:ascii="Times New Roman" w:hAnsi="Times New Roman" w:eastAsia="仿宋" w:cs="Times New Roman"/>
          <w:b/>
          <w:bCs w:val="0"/>
          <w:color w:val="auto"/>
          <w:highlight w:val="none"/>
        </w:rPr>
        <w:t>合同文本</w:t>
      </w:r>
    </w:p>
    <w:p w14:paraId="7BAB8BAC">
      <w:pPr>
        <w:shd w:val="clear"/>
        <w:adjustRightInd w:val="0"/>
        <w:snapToGrid w:val="0"/>
        <w:spacing w:line="360" w:lineRule="auto"/>
        <w:ind w:firstLine="420" w:firstLineChars="200"/>
        <w:jc w:val="center"/>
        <w:rPr>
          <w:rFonts w:hint="default" w:ascii="Times New Roman" w:hAnsi="Times New Roman" w:eastAsia="仿宋" w:cs="Times New Roman"/>
          <w:color w:val="auto"/>
          <w:highlight w:val="none"/>
        </w:rPr>
      </w:pPr>
      <w:r>
        <w:rPr>
          <w:rFonts w:hint="default" w:ascii="Times New Roman" w:hAnsi="Times New Roman" w:eastAsia="仿宋" w:cs="Times New Roman"/>
          <w:color w:val="auto"/>
          <w:highlight w:val="none"/>
        </w:rPr>
        <w:t>（仅供参考）</w:t>
      </w:r>
    </w:p>
    <w:p w14:paraId="4B4EAA0A">
      <w:pPr>
        <w:keepNext w:val="0"/>
        <w:keepLines w:val="0"/>
        <w:pageBreakBefore w:val="0"/>
        <w:widowControl/>
        <w:shd w:val="clear"/>
        <w:tabs>
          <w:tab w:val="left" w:pos="735"/>
        </w:tabs>
        <w:kinsoku/>
        <w:wordWrap/>
        <w:overflowPunct/>
        <w:topLinePunct w:val="0"/>
        <w:autoSpaceDE w:val="0"/>
        <w:autoSpaceDN w:val="0"/>
        <w:bidi w:val="0"/>
        <w:adjustRightInd w:val="0"/>
        <w:snapToGrid w:val="0"/>
        <w:spacing w:line="360" w:lineRule="auto"/>
        <w:ind w:firstLine="629"/>
        <w:rPr>
          <w:rFonts w:hint="default" w:ascii="Times New Roman" w:hAnsi="Times New Roman" w:eastAsia="仿宋" w:cs="Times New Roman"/>
          <w:b/>
          <w:bCs/>
          <w:color w:val="auto"/>
          <w:sz w:val="24"/>
          <w:szCs w:val="24"/>
          <w:highlight w:val="none"/>
          <w:lang w:val="zh-CN"/>
        </w:rPr>
      </w:pPr>
      <w:r>
        <w:rPr>
          <w:rFonts w:hint="default" w:ascii="Times New Roman" w:hAnsi="Times New Roman" w:eastAsia="仿宋" w:cs="Times New Roman"/>
          <w:b/>
          <w:bCs/>
          <w:color w:val="auto"/>
          <w:sz w:val="24"/>
          <w:szCs w:val="24"/>
          <w:highlight w:val="none"/>
          <w:lang w:val="zh-CN"/>
        </w:rPr>
        <w:t>甲方：</w:t>
      </w:r>
      <w:r>
        <w:rPr>
          <w:rFonts w:hint="default" w:ascii="Times New Roman" w:hAnsi="Times New Roman" w:eastAsia="仿宋" w:cs="Times New Roman"/>
          <w:bCs/>
          <w:color w:val="auto"/>
          <w:sz w:val="24"/>
          <w:szCs w:val="24"/>
          <w:highlight w:val="none"/>
          <w:lang w:val="zh-CN"/>
        </w:rPr>
        <w:t xml:space="preserve">（前款所称采购人）     </w:t>
      </w:r>
      <w:r>
        <w:rPr>
          <w:rFonts w:hint="default" w:ascii="Times New Roman" w:hAnsi="Times New Roman" w:eastAsia="仿宋" w:cs="Times New Roman"/>
          <w:bCs/>
          <w:color w:val="auto"/>
          <w:sz w:val="24"/>
          <w:szCs w:val="24"/>
          <w:highlight w:val="none"/>
          <w:lang w:val="en-US" w:eastAsia="zh-CN"/>
        </w:rPr>
        <w:t xml:space="preserve">   </w:t>
      </w:r>
      <w:r>
        <w:rPr>
          <w:rFonts w:hint="eastAsia" w:ascii="Times New Roman" w:hAnsi="Times New Roman" w:eastAsia="仿宋" w:cs="Times New Roman"/>
          <w:bCs/>
          <w:color w:val="auto"/>
          <w:sz w:val="24"/>
          <w:szCs w:val="24"/>
          <w:highlight w:val="none"/>
          <w:lang w:val="en-US" w:eastAsia="zh-CN"/>
        </w:rPr>
        <w:t xml:space="preserve">   </w:t>
      </w:r>
      <w:r>
        <w:rPr>
          <w:rFonts w:hint="default" w:ascii="Times New Roman" w:hAnsi="Times New Roman" w:eastAsia="仿宋" w:cs="Times New Roman"/>
          <w:bCs/>
          <w:color w:val="auto"/>
          <w:sz w:val="24"/>
          <w:szCs w:val="24"/>
          <w:highlight w:val="none"/>
          <w:lang w:val="zh-CN"/>
        </w:rPr>
        <w:t>住所：</w:t>
      </w:r>
    </w:p>
    <w:p w14:paraId="688B1B31">
      <w:pPr>
        <w:keepNext w:val="0"/>
        <w:keepLines w:val="0"/>
        <w:pageBreakBefore w:val="0"/>
        <w:widowControl/>
        <w:shd w:val="clear"/>
        <w:tabs>
          <w:tab w:val="left" w:pos="735"/>
        </w:tabs>
        <w:kinsoku/>
        <w:wordWrap/>
        <w:overflowPunct/>
        <w:topLinePunct w:val="0"/>
        <w:autoSpaceDE w:val="0"/>
        <w:autoSpaceDN w:val="0"/>
        <w:bidi w:val="0"/>
        <w:adjustRightInd w:val="0"/>
        <w:snapToGrid w:val="0"/>
        <w:spacing w:line="360" w:lineRule="auto"/>
        <w:ind w:firstLine="631"/>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
          <w:bCs/>
          <w:color w:val="auto"/>
          <w:sz w:val="24"/>
          <w:szCs w:val="24"/>
          <w:highlight w:val="none"/>
          <w:lang w:val="zh-CN"/>
        </w:rPr>
        <w:t>乙方：</w:t>
      </w:r>
      <w:r>
        <w:rPr>
          <w:rFonts w:hint="default" w:ascii="Times New Roman" w:hAnsi="Times New Roman" w:eastAsia="仿宋" w:cs="Times New Roman"/>
          <w:bCs/>
          <w:color w:val="auto"/>
          <w:sz w:val="24"/>
          <w:szCs w:val="24"/>
          <w:highlight w:val="none"/>
          <w:lang w:val="zh-CN"/>
        </w:rPr>
        <w:t xml:space="preserve">（前款所称中标人）     </w:t>
      </w:r>
      <w:r>
        <w:rPr>
          <w:rFonts w:hint="default" w:ascii="Times New Roman" w:hAnsi="Times New Roman" w:eastAsia="仿宋" w:cs="Times New Roman"/>
          <w:bCs/>
          <w:color w:val="auto"/>
          <w:sz w:val="24"/>
          <w:szCs w:val="24"/>
          <w:highlight w:val="none"/>
          <w:lang w:val="en-US" w:eastAsia="zh-CN"/>
        </w:rPr>
        <w:t xml:space="preserve">  </w:t>
      </w:r>
      <w:r>
        <w:rPr>
          <w:rFonts w:hint="eastAsia" w:ascii="Times New Roman" w:hAnsi="Times New Roman" w:eastAsia="仿宋" w:cs="Times New Roman"/>
          <w:bCs/>
          <w:color w:val="auto"/>
          <w:sz w:val="24"/>
          <w:szCs w:val="24"/>
          <w:highlight w:val="none"/>
          <w:lang w:val="en-US" w:eastAsia="zh-CN"/>
        </w:rPr>
        <w:t xml:space="preserve">   </w:t>
      </w:r>
      <w:r>
        <w:rPr>
          <w:rFonts w:hint="default" w:ascii="Times New Roman" w:hAnsi="Times New Roman" w:eastAsia="仿宋" w:cs="Times New Roman"/>
          <w:bCs/>
          <w:color w:val="auto"/>
          <w:sz w:val="24"/>
          <w:szCs w:val="24"/>
          <w:highlight w:val="none"/>
          <w:lang w:val="en-US" w:eastAsia="zh-CN"/>
        </w:rPr>
        <w:t xml:space="preserve"> </w:t>
      </w:r>
      <w:r>
        <w:rPr>
          <w:rFonts w:hint="default" w:ascii="Times New Roman" w:hAnsi="Times New Roman" w:eastAsia="仿宋" w:cs="Times New Roman"/>
          <w:bCs/>
          <w:color w:val="auto"/>
          <w:sz w:val="24"/>
          <w:szCs w:val="24"/>
          <w:highlight w:val="none"/>
          <w:lang w:val="zh-CN"/>
        </w:rPr>
        <w:t>住所：</w:t>
      </w:r>
    </w:p>
    <w:p w14:paraId="4A2C6C5A">
      <w:pPr>
        <w:keepNext w:val="0"/>
        <w:keepLines w:val="0"/>
        <w:pageBreakBefore w:val="0"/>
        <w:widowControl/>
        <w:numPr>
          <w:ilvl w:val="0"/>
          <w:numId w:val="2"/>
        </w:numPr>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bookmarkStart w:id="0" w:name="_Toc19515384"/>
      <w:r>
        <w:rPr>
          <w:rFonts w:hint="default" w:ascii="Times New Roman" w:hAnsi="Times New Roman" w:eastAsia="仿宋" w:cs="Times New Roman"/>
          <w:color w:val="auto"/>
          <w:sz w:val="24"/>
          <w:szCs w:val="24"/>
          <w:highlight w:val="none"/>
        </w:rPr>
        <w:t>合同内容</w:t>
      </w:r>
      <w:bookmarkEnd w:id="0"/>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261"/>
        <w:gridCol w:w="869"/>
        <w:gridCol w:w="1065"/>
        <w:gridCol w:w="1065"/>
        <w:gridCol w:w="1065"/>
        <w:gridCol w:w="1066"/>
        <w:gridCol w:w="1066"/>
      </w:tblGrid>
      <w:tr w14:paraId="105A7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14:paraId="1222F588">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序号</w:t>
            </w:r>
          </w:p>
        </w:tc>
        <w:tc>
          <w:tcPr>
            <w:tcW w:w="1261" w:type="dxa"/>
            <w:vAlign w:val="center"/>
          </w:tcPr>
          <w:p w14:paraId="5DA4DBB9">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产品名称</w:t>
            </w:r>
          </w:p>
        </w:tc>
        <w:tc>
          <w:tcPr>
            <w:tcW w:w="869" w:type="dxa"/>
            <w:vAlign w:val="center"/>
          </w:tcPr>
          <w:p w14:paraId="0CD74988">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型号</w:t>
            </w:r>
          </w:p>
        </w:tc>
        <w:tc>
          <w:tcPr>
            <w:tcW w:w="1065" w:type="dxa"/>
            <w:vAlign w:val="center"/>
          </w:tcPr>
          <w:p w14:paraId="5EBE6509">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val="en-US" w:eastAsia="zh-CN"/>
              </w:rPr>
              <w:t>制造商</w:t>
            </w:r>
            <w:bookmarkStart w:id="8" w:name="_GoBack"/>
            <w:bookmarkEnd w:id="8"/>
          </w:p>
        </w:tc>
        <w:tc>
          <w:tcPr>
            <w:tcW w:w="1065" w:type="dxa"/>
            <w:vAlign w:val="center"/>
          </w:tcPr>
          <w:p w14:paraId="2B824ABA">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数量</w:t>
            </w:r>
          </w:p>
        </w:tc>
        <w:tc>
          <w:tcPr>
            <w:tcW w:w="1065" w:type="dxa"/>
            <w:vAlign w:val="center"/>
          </w:tcPr>
          <w:p w14:paraId="44C57CDE">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单价</w:t>
            </w:r>
          </w:p>
        </w:tc>
        <w:tc>
          <w:tcPr>
            <w:tcW w:w="1066" w:type="dxa"/>
            <w:vAlign w:val="center"/>
          </w:tcPr>
          <w:p w14:paraId="3015F595">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总价</w:t>
            </w:r>
          </w:p>
        </w:tc>
        <w:tc>
          <w:tcPr>
            <w:tcW w:w="1066" w:type="dxa"/>
            <w:vAlign w:val="center"/>
          </w:tcPr>
          <w:p w14:paraId="42830F1F">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备注</w:t>
            </w:r>
          </w:p>
        </w:tc>
      </w:tr>
      <w:tr w14:paraId="12531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14:paraId="2BAF45A6">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w:t>
            </w:r>
          </w:p>
        </w:tc>
        <w:tc>
          <w:tcPr>
            <w:tcW w:w="1261" w:type="dxa"/>
            <w:vAlign w:val="center"/>
          </w:tcPr>
          <w:p w14:paraId="295A51CA">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p>
        </w:tc>
        <w:tc>
          <w:tcPr>
            <w:tcW w:w="869" w:type="dxa"/>
            <w:vAlign w:val="center"/>
          </w:tcPr>
          <w:p w14:paraId="36C2EBD4">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p>
        </w:tc>
        <w:tc>
          <w:tcPr>
            <w:tcW w:w="1065" w:type="dxa"/>
            <w:vAlign w:val="center"/>
          </w:tcPr>
          <w:p w14:paraId="6A0F6BA7">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p>
        </w:tc>
        <w:tc>
          <w:tcPr>
            <w:tcW w:w="1065" w:type="dxa"/>
            <w:vAlign w:val="center"/>
          </w:tcPr>
          <w:p w14:paraId="0DAF7EA3">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p>
        </w:tc>
        <w:tc>
          <w:tcPr>
            <w:tcW w:w="1065" w:type="dxa"/>
            <w:vAlign w:val="center"/>
          </w:tcPr>
          <w:p w14:paraId="4AF259BA">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p>
        </w:tc>
        <w:tc>
          <w:tcPr>
            <w:tcW w:w="1066" w:type="dxa"/>
            <w:vAlign w:val="center"/>
          </w:tcPr>
          <w:p w14:paraId="49711233">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p>
        </w:tc>
        <w:tc>
          <w:tcPr>
            <w:tcW w:w="1066" w:type="dxa"/>
            <w:vAlign w:val="center"/>
          </w:tcPr>
          <w:p w14:paraId="4C2C8B5A">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p>
        </w:tc>
      </w:tr>
      <w:tr w14:paraId="5A343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14:paraId="5F1DE68B">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w:t>
            </w:r>
          </w:p>
        </w:tc>
        <w:tc>
          <w:tcPr>
            <w:tcW w:w="1261" w:type="dxa"/>
            <w:vAlign w:val="center"/>
          </w:tcPr>
          <w:p w14:paraId="54C4F51B">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p>
        </w:tc>
        <w:tc>
          <w:tcPr>
            <w:tcW w:w="869" w:type="dxa"/>
            <w:vAlign w:val="center"/>
          </w:tcPr>
          <w:p w14:paraId="291E7AB6">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p>
        </w:tc>
        <w:tc>
          <w:tcPr>
            <w:tcW w:w="1065" w:type="dxa"/>
            <w:vAlign w:val="center"/>
          </w:tcPr>
          <w:p w14:paraId="1D55F17A">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p>
        </w:tc>
        <w:tc>
          <w:tcPr>
            <w:tcW w:w="1065" w:type="dxa"/>
            <w:vAlign w:val="center"/>
          </w:tcPr>
          <w:p w14:paraId="6077D5C3">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p>
        </w:tc>
        <w:tc>
          <w:tcPr>
            <w:tcW w:w="1065" w:type="dxa"/>
            <w:vAlign w:val="center"/>
          </w:tcPr>
          <w:p w14:paraId="418F4EE3">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p>
        </w:tc>
        <w:tc>
          <w:tcPr>
            <w:tcW w:w="1066" w:type="dxa"/>
            <w:vAlign w:val="center"/>
          </w:tcPr>
          <w:p w14:paraId="1B0C049B">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p>
        </w:tc>
        <w:tc>
          <w:tcPr>
            <w:tcW w:w="1066" w:type="dxa"/>
            <w:vAlign w:val="center"/>
          </w:tcPr>
          <w:p w14:paraId="1F3BCAC1">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eastAsia="zh-CN"/>
              </w:rPr>
            </w:pPr>
          </w:p>
        </w:tc>
      </w:tr>
      <w:tr w14:paraId="6775D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5" w:type="dxa"/>
            <w:gridSpan w:val="3"/>
            <w:vAlign w:val="center"/>
          </w:tcPr>
          <w:p w14:paraId="746034C7">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总计（人民币/元）</w:t>
            </w:r>
          </w:p>
        </w:tc>
        <w:tc>
          <w:tcPr>
            <w:tcW w:w="5327" w:type="dxa"/>
            <w:gridSpan w:val="5"/>
            <w:vAlign w:val="center"/>
          </w:tcPr>
          <w:p w14:paraId="091C7D4A">
            <w:pPr>
              <w:pStyle w:val="7"/>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jc w:val="both"/>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小写：              大写：</w:t>
            </w:r>
          </w:p>
        </w:tc>
      </w:tr>
    </w:tbl>
    <w:p w14:paraId="60B2F7F9">
      <w:pPr>
        <w:pStyle w:val="3"/>
        <w:numPr>
          <w:ilvl w:val="0"/>
          <w:numId w:val="0"/>
        </w:numPr>
        <w:shd w:val="clear"/>
        <w:ind w:right="-84" w:rightChars="-40"/>
        <w:jc w:val="both"/>
        <w:rPr>
          <w:rFonts w:hint="default" w:ascii="Times New Roman" w:hAnsi="Times New Roman" w:eastAsia="仿宋" w:cs="Times New Roman"/>
          <w:color w:val="auto"/>
          <w:sz w:val="24"/>
          <w:szCs w:val="24"/>
          <w:highlight w:val="none"/>
          <w:lang w:val="en-US" w:eastAsia="zh-CN" w:bidi="ar-SA"/>
        </w:rPr>
      </w:pPr>
      <w:r>
        <w:rPr>
          <w:rFonts w:hint="default" w:ascii="Times New Roman" w:hAnsi="Times New Roman" w:eastAsia="仿宋" w:cs="Times New Roman"/>
          <w:color w:val="auto"/>
          <w:sz w:val="24"/>
          <w:szCs w:val="24"/>
          <w:highlight w:val="none"/>
          <w:lang w:val="en-US" w:eastAsia="zh-CN" w:bidi="ar-SA"/>
        </w:rPr>
        <w:t>（参数附件说明）</w:t>
      </w:r>
    </w:p>
    <w:p w14:paraId="562083FE">
      <w:pPr>
        <w:pStyle w:val="3"/>
        <w:numPr>
          <w:ilvl w:val="0"/>
          <w:numId w:val="0"/>
        </w:numPr>
        <w:shd w:val="clear"/>
        <w:ind w:right="-84" w:rightChars="-40"/>
        <w:jc w:val="both"/>
        <w:rPr>
          <w:rFonts w:hint="default"/>
          <w:highlight w:val="none"/>
        </w:rPr>
      </w:pPr>
      <w:r>
        <w:rPr>
          <w:rFonts w:hint="default" w:ascii="Times New Roman" w:hAnsi="Times New Roman" w:eastAsia="仿宋" w:cs="Times New Roman"/>
          <w:color w:val="auto"/>
          <w:sz w:val="24"/>
          <w:szCs w:val="24"/>
          <w:highlight w:val="none"/>
          <w:lang w:val="en-US" w:eastAsia="zh-CN" w:bidi="ar-SA"/>
        </w:rPr>
        <w:t>乙方负责按以上确定的产品规格、型号及配套内容进行供货，及时运到甲方指定交货地点安装调试，确保所有产品达到最佳运行状态，做好售后服务工作。</w:t>
      </w:r>
    </w:p>
    <w:p w14:paraId="14DAB003">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bookmarkStart w:id="1" w:name="_Toc19515385"/>
      <w:r>
        <w:rPr>
          <w:rFonts w:hint="default" w:ascii="Times New Roman" w:hAnsi="Times New Roman" w:eastAsia="仿宋" w:cs="Times New Roman"/>
          <w:color w:val="auto"/>
          <w:sz w:val="24"/>
          <w:szCs w:val="24"/>
          <w:highlight w:val="none"/>
        </w:rPr>
        <w:t>二、合同价款</w:t>
      </w:r>
      <w:bookmarkEnd w:id="1"/>
    </w:p>
    <w:p w14:paraId="7D1A440C">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lang w:val="en-US"/>
        </w:rPr>
      </w:pPr>
      <w:r>
        <w:rPr>
          <w:rFonts w:hint="default" w:ascii="Times New Roman" w:hAnsi="Times New Roman" w:eastAsia="仿宋" w:cs="Times New Roman"/>
          <w:color w:val="auto"/>
          <w:sz w:val="24"/>
          <w:szCs w:val="24"/>
          <w:highlight w:val="none"/>
        </w:rPr>
        <w:t>1、合同</w:t>
      </w:r>
      <w:r>
        <w:rPr>
          <w:rFonts w:hint="default" w:ascii="Times New Roman" w:hAnsi="Times New Roman" w:eastAsia="仿宋" w:cs="Times New Roman"/>
          <w:color w:val="auto"/>
          <w:sz w:val="24"/>
          <w:szCs w:val="24"/>
          <w:highlight w:val="none"/>
          <w:lang w:val="en-US" w:eastAsia="zh-CN"/>
        </w:rPr>
        <w:t>总价：___________。</w:t>
      </w:r>
    </w:p>
    <w:p w14:paraId="1C995764">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2、合同</w:t>
      </w:r>
      <w:r>
        <w:rPr>
          <w:rFonts w:hint="default" w:ascii="Times New Roman" w:hAnsi="Times New Roman" w:eastAsia="仿宋" w:cs="Times New Roman"/>
          <w:color w:val="auto"/>
          <w:sz w:val="24"/>
          <w:szCs w:val="24"/>
          <w:highlight w:val="none"/>
          <w:lang w:eastAsia="zh-CN"/>
        </w:rPr>
        <w:t>总价</w:t>
      </w:r>
      <w:r>
        <w:rPr>
          <w:rFonts w:hint="default" w:ascii="Times New Roman" w:hAnsi="Times New Roman" w:eastAsia="仿宋" w:cs="Times New Roman"/>
          <w:color w:val="auto"/>
          <w:sz w:val="24"/>
          <w:szCs w:val="24"/>
          <w:highlight w:val="none"/>
        </w:rPr>
        <w:t>包括：包括运输费、税金等费用</w:t>
      </w:r>
      <w:r>
        <w:rPr>
          <w:rFonts w:hint="default" w:ascii="Times New Roman" w:hAnsi="Times New Roman" w:eastAsia="仿宋" w:cs="Times New Roman"/>
          <w:color w:val="auto"/>
          <w:sz w:val="24"/>
          <w:szCs w:val="24"/>
          <w:highlight w:val="none"/>
          <w:lang w:eastAsia="zh-CN"/>
        </w:rPr>
        <w:t>全部费用</w:t>
      </w:r>
      <w:r>
        <w:rPr>
          <w:rFonts w:hint="default" w:ascii="Times New Roman" w:hAnsi="Times New Roman" w:eastAsia="仿宋" w:cs="Times New Roman"/>
          <w:color w:val="auto"/>
          <w:sz w:val="24"/>
          <w:szCs w:val="24"/>
          <w:highlight w:val="none"/>
        </w:rPr>
        <w:t>。</w:t>
      </w:r>
    </w:p>
    <w:p w14:paraId="207EE694">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3、</w:t>
      </w:r>
      <w:bookmarkStart w:id="2" w:name="_Toc19515386"/>
      <w:r>
        <w:rPr>
          <w:rFonts w:hint="default" w:ascii="Times New Roman" w:hAnsi="Times New Roman" w:eastAsia="仿宋" w:cs="Times New Roman"/>
          <w:color w:val="auto"/>
          <w:sz w:val="24"/>
          <w:szCs w:val="24"/>
          <w:highlight w:val="none"/>
        </w:rPr>
        <w:t>合同有效期内，所供货物、服务且验收合格的所有费用，包括出厂价、运杂费（含保险）、仓储保管费、安装调试费、检测费、人工费、利润、税费等其他一切相关费用；包括从产品供应地点到交货地点，且使产品具备使用条件的一切费用。合同总价不可变更，不受市场价变化的影响，不受实际数量变化的影响。</w:t>
      </w:r>
    </w:p>
    <w:p w14:paraId="57336341">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三、合同结算</w:t>
      </w:r>
      <w:bookmarkEnd w:id="2"/>
    </w:p>
    <w:p w14:paraId="532E5644">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lang w:eastAsia="zh-CN"/>
        </w:rPr>
      </w:pPr>
      <w:bookmarkStart w:id="3" w:name="_Toc19515387"/>
      <w:r>
        <w:rPr>
          <w:rFonts w:hint="default" w:ascii="Times New Roman" w:hAnsi="Times New Roman" w:eastAsia="仿宋" w:cs="Times New Roman"/>
          <w:color w:val="auto"/>
          <w:sz w:val="24"/>
          <w:szCs w:val="24"/>
          <w:highlight w:val="none"/>
        </w:rPr>
        <w:t>1.</w:t>
      </w:r>
      <w:r>
        <w:rPr>
          <w:rFonts w:hint="default" w:ascii="Times New Roman" w:hAnsi="Times New Roman" w:eastAsia="仿宋" w:cs="Times New Roman"/>
          <w:color w:val="auto"/>
          <w:sz w:val="24"/>
          <w:szCs w:val="24"/>
          <w:highlight w:val="none"/>
          <w:lang w:eastAsia="zh-CN"/>
        </w:rPr>
        <w:t>付款比例：</w:t>
      </w:r>
    </w:p>
    <w:p w14:paraId="4B368909">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lang w:eastAsia="zh-CN"/>
        </w:rPr>
        <w:t>合同生效后，待货物到达指定地点、验收合格后，达到付款条件起15日内，支付合同总金额的 100.00%。</w:t>
      </w:r>
    </w:p>
    <w:p w14:paraId="6AE32327">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val="en-US" w:eastAsia="zh-CN"/>
        </w:rPr>
        <w:t>2</w:t>
      </w:r>
      <w:r>
        <w:rPr>
          <w:rFonts w:hint="default" w:ascii="Times New Roman" w:hAnsi="Times New Roman" w:eastAsia="仿宋" w:cs="Times New Roman"/>
          <w:color w:val="auto"/>
          <w:sz w:val="24"/>
          <w:szCs w:val="24"/>
          <w:highlight w:val="none"/>
        </w:rPr>
        <w:t>.收款方、出具发票方、合同乙方均必须与</w:t>
      </w:r>
      <w:r>
        <w:rPr>
          <w:rFonts w:hint="default" w:ascii="Times New Roman" w:hAnsi="Times New Roman" w:eastAsia="仿宋" w:cs="Times New Roman"/>
          <w:color w:val="auto"/>
          <w:sz w:val="24"/>
          <w:szCs w:val="24"/>
          <w:highlight w:val="none"/>
          <w:lang w:eastAsia="zh-CN"/>
        </w:rPr>
        <w:t>中标</w:t>
      </w:r>
      <w:r>
        <w:rPr>
          <w:rFonts w:hint="default" w:ascii="Times New Roman" w:hAnsi="Times New Roman" w:eastAsia="仿宋" w:cs="Times New Roman"/>
          <w:color w:val="auto"/>
          <w:sz w:val="24"/>
          <w:szCs w:val="24"/>
          <w:highlight w:val="none"/>
        </w:rPr>
        <w:t>人名称一致。</w:t>
      </w:r>
    </w:p>
    <w:p w14:paraId="4A81D6A1">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val="en-US" w:eastAsia="zh-CN"/>
        </w:rPr>
        <w:t>3</w:t>
      </w:r>
      <w:r>
        <w:rPr>
          <w:rFonts w:hint="default" w:ascii="Times New Roman" w:hAnsi="Times New Roman" w:eastAsia="仿宋" w:cs="Times New Roman"/>
          <w:color w:val="auto"/>
          <w:sz w:val="24"/>
          <w:szCs w:val="24"/>
          <w:highlight w:val="none"/>
        </w:rPr>
        <w:t>.在付款时乙方应开具等额发票。</w:t>
      </w:r>
    </w:p>
    <w:p w14:paraId="312831A8">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val="en-US" w:eastAsia="zh-CN"/>
        </w:rPr>
        <w:t>4</w:t>
      </w:r>
      <w:r>
        <w:rPr>
          <w:rFonts w:hint="default" w:ascii="Times New Roman" w:hAnsi="Times New Roman" w:eastAsia="仿宋" w:cs="Times New Roman"/>
          <w:color w:val="auto"/>
          <w:sz w:val="24"/>
          <w:szCs w:val="24"/>
          <w:highlight w:val="none"/>
        </w:rPr>
        <w:t>.结算方式：银行转账。</w:t>
      </w:r>
    </w:p>
    <w:p w14:paraId="24D3A087">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rPr>
        <w:t>四、</w:t>
      </w:r>
      <w:r>
        <w:rPr>
          <w:rFonts w:hint="default" w:ascii="Times New Roman" w:hAnsi="Times New Roman" w:eastAsia="仿宋" w:cs="Times New Roman"/>
          <w:color w:val="auto"/>
          <w:sz w:val="24"/>
          <w:szCs w:val="24"/>
          <w:highlight w:val="none"/>
          <w:lang w:eastAsia="zh-CN"/>
        </w:rPr>
        <w:t>交货期</w:t>
      </w:r>
      <w:r>
        <w:rPr>
          <w:rFonts w:hint="default" w:ascii="Times New Roman" w:hAnsi="Times New Roman" w:eastAsia="仿宋" w:cs="Times New Roman"/>
          <w:color w:val="auto"/>
          <w:sz w:val="24"/>
          <w:szCs w:val="24"/>
          <w:highlight w:val="none"/>
        </w:rPr>
        <w:t>、地点及方式</w:t>
      </w:r>
      <w:bookmarkEnd w:id="3"/>
      <w:r>
        <w:rPr>
          <w:rFonts w:hint="default" w:ascii="Times New Roman" w:hAnsi="Times New Roman" w:eastAsia="仿宋" w:cs="Times New Roman"/>
          <w:color w:val="auto"/>
          <w:sz w:val="24"/>
          <w:szCs w:val="24"/>
          <w:highlight w:val="none"/>
          <w:lang w:eastAsia="zh-CN"/>
        </w:rPr>
        <w:t>：</w:t>
      </w:r>
    </w:p>
    <w:p w14:paraId="46D60306">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1、交货期：自合同签订之日起一年。</w:t>
      </w:r>
    </w:p>
    <w:p w14:paraId="11E8A852">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2、地点：</w:t>
      </w:r>
      <w:r>
        <w:rPr>
          <w:rFonts w:hint="eastAsia" w:ascii="Times New Roman" w:hAnsi="Times New Roman" w:eastAsia="仿宋" w:cs="Times New Roman"/>
          <w:color w:val="auto"/>
          <w:sz w:val="24"/>
          <w:szCs w:val="24"/>
          <w:highlight w:val="none"/>
          <w:lang w:val="en-US" w:eastAsia="zh-CN"/>
        </w:rPr>
        <w:t>甲方指定地点</w:t>
      </w:r>
      <w:r>
        <w:rPr>
          <w:rFonts w:hint="default" w:ascii="Times New Roman" w:hAnsi="Times New Roman" w:eastAsia="仿宋" w:cs="Times New Roman"/>
          <w:color w:val="auto"/>
          <w:sz w:val="24"/>
          <w:szCs w:val="24"/>
          <w:highlight w:val="none"/>
        </w:rPr>
        <w:t>。</w:t>
      </w:r>
    </w:p>
    <w:p w14:paraId="292B187F">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val="en-US" w:eastAsia="zh-CN"/>
        </w:rPr>
        <w:t>3、交货方式：</w:t>
      </w:r>
      <w:r>
        <w:rPr>
          <w:rFonts w:hint="default" w:ascii="Times New Roman" w:hAnsi="Times New Roman" w:eastAsia="仿宋" w:cs="Times New Roman"/>
          <w:b w:val="0"/>
          <w:bCs w:val="0"/>
          <w:color w:val="auto"/>
          <w:highlight w:val="none"/>
        </w:rPr>
        <w:t>中标</w:t>
      </w:r>
      <w:r>
        <w:rPr>
          <w:rFonts w:hint="default" w:ascii="Times New Roman" w:hAnsi="Times New Roman" w:eastAsia="仿宋" w:cs="Times New Roman"/>
          <w:b w:val="0"/>
          <w:bCs w:val="0"/>
          <w:color w:val="auto"/>
          <w:highlight w:val="none"/>
          <w:lang w:eastAsia="zh-CN"/>
        </w:rPr>
        <w:t>人</w:t>
      </w:r>
      <w:r>
        <w:rPr>
          <w:rFonts w:hint="default" w:ascii="Times New Roman" w:hAnsi="Times New Roman" w:eastAsia="仿宋" w:cs="Times New Roman"/>
          <w:b w:val="0"/>
          <w:bCs w:val="0"/>
          <w:color w:val="auto"/>
          <w:highlight w:val="none"/>
        </w:rPr>
        <w:t>把货物运送到</w:t>
      </w:r>
      <w:r>
        <w:rPr>
          <w:rFonts w:hint="default" w:ascii="Times New Roman" w:hAnsi="Times New Roman" w:eastAsia="仿宋" w:cs="Times New Roman"/>
          <w:b w:val="0"/>
          <w:bCs w:val="0"/>
          <w:color w:val="auto"/>
          <w:highlight w:val="none"/>
          <w:lang w:eastAsia="zh-CN"/>
        </w:rPr>
        <w:t>采购人</w:t>
      </w:r>
      <w:r>
        <w:rPr>
          <w:rFonts w:hint="default" w:ascii="Times New Roman" w:hAnsi="Times New Roman" w:eastAsia="仿宋" w:cs="Times New Roman"/>
          <w:b w:val="0"/>
          <w:bCs w:val="0"/>
          <w:color w:val="auto"/>
          <w:highlight w:val="none"/>
        </w:rPr>
        <w:t>指定地点，现场交货，中标</w:t>
      </w:r>
      <w:r>
        <w:rPr>
          <w:rFonts w:hint="default" w:ascii="Times New Roman" w:hAnsi="Times New Roman" w:eastAsia="仿宋" w:cs="Times New Roman"/>
          <w:b w:val="0"/>
          <w:bCs w:val="0"/>
          <w:color w:val="auto"/>
          <w:highlight w:val="none"/>
          <w:lang w:eastAsia="zh-CN"/>
        </w:rPr>
        <w:t>人</w:t>
      </w:r>
      <w:r>
        <w:rPr>
          <w:rFonts w:hint="default" w:ascii="Times New Roman" w:hAnsi="Times New Roman" w:eastAsia="仿宋" w:cs="Times New Roman"/>
          <w:b w:val="0"/>
          <w:bCs w:val="0"/>
          <w:color w:val="auto"/>
          <w:highlight w:val="none"/>
        </w:rPr>
        <w:t>负责办理运输。有关运输和保险的一切费用由</w:t>
      </w:r>
      <w:r>
        <w:rPr>
          <w:rFonts w:hint="default" w:ascii="Times New Roman" w:hAnsi="Times New Roman" w:eastAsia="仿宋" w:cs="Times New Roman"/>
          <w:b w:val="0"/>
          <w:bCs w:val="0"/>
          <w:color w:val="auto"/>
          <w:highlight w:val="none"/>
          <w:lang w:eastAsia="zh-CN"/>
        </w:rPr>
        <w:t>中标人</w:t>
      </w:r>
      <w:r>
        <w:rPr>
          <w:rFonts w:hint="default" w:ascii="Times New Roman" w:hAnsi="Times New Roman" w:eastAsia="仿宋" w:cs="Times New Roman"/>
          <w:b w:val="0"/>
          <w:bCs w:val="0"/>
          <w:color w:val="auto"/>
          <w:highlight w:val="none"/>
        </w:rPr>
        <w:t>承担。所有交货完毕后达到正常使用，验收合格日期为交货日期。</w:t>
      </w:r>
    </w:p>
    <w:p w14:paraId="57C17844">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lang w:eastAsia="zh-CN"/>
        </w:rPr>
      </w:pPr>
      <w:bookmarkStart w:id="4" w:name="_Toc19515388"/>
      <w:r>
        <w:rPr>
          <w:rFonts w:hint="default" w:ascii="Times New Roman" w:hAnsi="Times New Roman" w:eastAsia="仿宋" w:cs="Times New Roman"/>
          <w:color w:val="auto"/>
          <w:sz w:val="24"/>
          <w:szCs w:val="24"/>
          <w:highlight w:val="none"/>
        </w:rPr>
        <w:t>五、运输</w:t>
      </w:r>
      <w:bookmarkEnd w:id="4"/>
    </w:p>
    <w:p w14:paraId="6176AFEA">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1、乙方负责所有货物的运输。确保货物安全、完整到达使用地点，运杂费用包含在总价内，包括货物从供货地点到使用地点的运输费、保险费、搬运费等。</w:t>
      </w:r>
    </w:p>
    <w:p w14:paraId="79E7995C">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2、所有货物在运输、搬运的过程中，造成甲方损失的，由乙方为甲方修复或更新。</w:t>
      </w:r>
    </w:p>
    <w:p w14:paraId="04498EC0">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3、</w:t>
      </w:r>
      <w:r>
        <w:rPr>
          <w:rFonts w:hint="default" w:ascii="Times New Roman" w:hAnsi="Times New Roman" w:eastAsia="仿宋" w:cs="Times New Roman"/>
          <w:color w:val="auto"/>
          <w:sz w:val="24"/>
          <w:szCs w:val="24"/>
          <w:highlight w:val="none"/>
          <w:lang w:val="en-US" w:eastAsia="zh-CN"/>
        </w:rPr>
        <w:t>根据产品特性，由乙方在保证产品质量的前提下，自行选择运输及包装方式，发生的一切费用全部由乙方承担。</w:t>
      </w:r>
    </w:p>
    <w:p w14:paraId="1CE6432A">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bookmarkStart w:id="5" w:name="_Toc19515389"/>
      <w:r>
        <w:rPr>
          <w:rFonts w:hint="default" w:ascii="Times New Roman" w:hAnsi="Times New Roman" w:eastAsia="仿宋" w:cs="Times New Roman"/>
          <w:color w:val="auto"/>
          <w:sz w:val="24"/>
          <w:szCs w:val="24"/>
          <w:highlight w:val="none"/>
        </w:rPr>
        <w:t>六、质量保证</w:t>
      </w:r>
      <w:bookmarkEnd w:id="5"/>
    </w:p>
    <w:p w14:paraId="4FAA0DD0">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u w:val="single"/>
          <w:lang w:eastAsia="zh-CN"/>
        </w:rPr>
      </w:pPr>
      <w:r>
        <w:rPr>
          <w:rFonts w:hint="default" w:ascii="Times New Roman" w:hAnsi="Times New Roman" w:eastAsia="仿宋" w:cs="Times New Roman"/>
          <w:color w:val="auto"/>
          <w:sz w:val="24"/>
          <w:szCs w:val="24"/>
          <w:highlight w:val="none"/>
        </w:rPr>
        <w:t>1、</w:t>
      </w:r>
      <w:r>
        <w:rPr>
          <w:rFonts w:hint="default" w:ascii="Times New Roman" w:hAnsi="Times New Roman" w:eastAsia="仿宋" w:cs="Times New Roman"/>
          <w:color w:val="auto"/>
          <w:sz w:val="24"/>
          <w:szCs w:val="24"/>
          <w:highlight w:val="none"/>
          <w:lang w:eastAsia="zh-CN"/>
        </w:rPr>
        <w:t>质保期：</w:t>
      </w:r>
      <w:r>
        <w:rPr>
          <w:rFonts w:hint="default" w:ascii="Times New Roman" w:hAnsi="Times New Roman" w:eastAsia="仿宋" w:cs="Times New Roman"/>
          <w:color w:val="auto"/>
          <w:sz w:val="24"/>
          <w:szCs w:val="24"/>
          <w:highlight w:val="none"/>
          <w:u w:val="single"/>
          <w:lang w:eastAsia="zh-CN"/>
        </w:rPr>
        <w:t>验收合格后3年。</w:t>
      </w:r>
    </w:p>
    <w:p w14:paraId="4087E15D">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val="en-US" w:eastAsia="zh-CN"/>
        </w:rPr>
        <w:t>2、</w:t>
      </w:r>
      <w:r>
        <w:rPr>
          <w:rFonts w:hint="default" w:ascii="Times New Roman" w:hAnsi="Times New Roman" w:eastAsia="仿宋" w:cs="Times New Roman"/>
          <w:color w:val="auto"/>
          <w:sz w:val="24"/>
          <w:szCs w:val="24"/>
          <w:highlight w:val="none"/>
        </w:rPr>
        <w:t>运输、装卸期间</w:t>
      </w:r>
      <w:r>
        <w:rPr>
          <w:rFonts w:hint="default" w:ascii="Times New Roman" w:hAnsi="Times New Roman" w:eastAsia="仿宋" w:cs="Times New Roman"/>
          <w:color w:val="auto"/>
          <w:sz w:val="24"/>
          <w:szCs w:val="24"/>
          <w:highlight w:val="none"/>
          <w:lang w:eastAsia="zh-CN"/>
        </w:rPr>
        <w:t>投标人</w:t>
      </w:r>
      <w:r>
        <w:rPr>
          <w:rFonts w:hint="default" w:ascii="Times New Roman" w:hAnsi="Times New Roman" w:eastAsia="仿宋" w:cs="Times New Roman"/>
          <w:color w:val="auto"/>
          <w:sz w:val="24"/>
          <w:szCs w:val="24"/>
          <w:highlight w:val="none"/>
        </w:rPr>
        <w:t>所发生的货物、财产损失及人身伤亡等安全事故与招标人无关；</w:t>
      </w:r>
    </w:p>
    <w:p w14:paraId="4103DA0D">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r>
        <w:rPr>
          <w:rFonts w:hint="eastAsia" w:ascii="Times New Roman" w:hAnsi="Times New Roman" w:eastAsia="仿宋" w:cs="Times New Roman"/>
          <w:color w:val="auto"/>
          <w:sz w:val="24"/>
          <w:szCs w:val="24"/>
          <w:highlight w:val="none"/>
          <w:lang w:val="en-US" w:eastAsia="zh-CN"/>
        </w:rPr>
        <w:t>3</w:t>
      </w:r>
      <w:r>
        <w:rPr>
          <w:rFonts w:hint="default" w:ascii="Times New Roman" w:hAnsi="Times New Roman" w:eastAsia="仿宋" w:cs="Times New Roman"/>
          <w:color w:val="auto"/>
          <w:sz w:val="24"/>
          <w:szCs w:val="24"/>
          <w:highlight w:val="none"/>
          <w:lang w:val="en-US" w:eastAsia="zh-CN"/>
        </w:rPr>
        <w:t>、</w:t>
      </w:r>
      <w:r>
        <w:rPr>
          <w:rFonts w:hint="default" w:ascii="Times New Roman" w:hAnsi="Times New Roman" w:eastAsia="仿宋" w:cs="Times New Roman"/>
          <w:color w:val="auto"/>
          <w:sz w:val="24"/>
          <w:szCs w:val="24"/>
          <w:highlight w:val="none"/>
        </w:rPr>
        <w:t>采购</w:t>
      </w:r>
      <w:r>
        <w:rPr>
          <w:rFonts w:hint="default" w:ascii="Times New Roman" w:hAnsi="Times New Roman" w:eastAsia="仿宋" w:cs="Times New Roman"/>
          <w:color w:val="auto"/>
          <w:sz w:val="24"/>
          <w:szCs w:val="24"/>
          <w:highlight w:val="none"/>
          <w:lang w:eastAsia="zh-CN"/>
        </w:rPr>
        <w:t>人</w:t>
      </w:r>
      <w:r>
        <w:rPr>
          <w:rFonts w:hint="default" w:ascii="Times New Roman" w:hAnsi="Times New Roman" w:eastAsia="仿宋" w:cs="Times New Roman"/>
          <w:color w:val="auto"/>
          <w:sz w:val="24"/>
          <w:szCs w:val="24"/>
          <w:highlight w:val="none"/>
        </w:rPr>
        <w:t>有权在合同签订前后或货物的运输、使用阶段对中标</w:t>
      </w:r>
      <w:r>
        <w:rPr>
          <w:rFonts w:hint="default" w:ascii="Times New Roman" w:hAnsi="Times New Roman" w:eastAsia="仿宋" w:cs="Times New Roman"/>
          <w:color w:val="auto"/>
          <w:sz w:val="24"/>
          <w:szCs w:val="24"/>
          <w:highlight w:val="none"/>
          <w:lang w:eastAsia="zh-CN"/>
        </w:rPr>
        <w:t>人</w:t>
      </w:r>
      <w:r>
        <w:rPr>
          <w:rFonts w:hint="default" w:ascii="Times New Roman" w:hAnsi="Times New Roman" w:eastAsia="仿宋" w:cs="Times New Roman"/>
          <w:color w:val="auto"/>
          <w:sz w:val="24"/>
          <w:szCs w:val="24"/>
          <w:highlight w:val="none"/>
        </w:rPr>
        <w:t>所供货物的</w:t>
      </w:r>
      <w:r>
        <w:rPr>
          <w:rFonts w:hint="default" w:ascii="Times New Roman" w:hAnsi="Times New Roman" w:eastAsia="仿宋" w:cs="Times New Roman"/>
          <w:color w:val="auto"/>
          <w:sz w:val="24"/>
          <w:szCs w:val="24"/>
          <w:highlight w:val="none"/>
          <w:lang w:eastAsia="zh-CN"/>
        </w:rPr>
        <w:t>数量</w:t>
      </w:r>
      <w:r>
        <w:rPr>
          <w:rFonts w:hint="default" w:ascii="Times New Roman" w:hAnsi="Times New Roman" w:eastAsia="仿宋" w:cs="Times New Roman"/>
          <w:color w:val="auto"/>
          <w:sz w:val="24"/>
          <w:szCs w:val="24"/>
          <w:highlight w:val="none"/>
        </w:rPr>
        <w:t>进行复检。</w:t>
      </w:r>
    </w:p>
    <w:p w14:paraId="44BA518A">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4</w:t>
      </w:r>
      <w:r>
        <w:rPr>
          <w:rFonts w:hint="default" w:ascii="Times New Roman" w:hAnsi="Times New Roman" w:eastAsia="仿宋" w:cs="Times New Roman"/>
          <w:color w:val="auto"/>
          <w:sz w:val="24"/>
          <w:szCs w:val="24"/>
          <w:highlight w:val="none"/>
          <w:lang w:val="en-US" w:eastAsia="zh-CN"/>
        </w:rPr>
        <w:t>、乙方保证所有产品全部符合国家及行业强制性标准；</w:t>
      </w:r>
    </w:p>
    <w:p w14:paraId="0AB81002">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w:t>
      </w:r>
      <w:r>
        <w:rPr>
          <w:rFonts w:hint="default" w:ascii="Times New Roman" w:hAnsi="Times New Roman" w:eastAsia="仿宋" w:cs="Times New Roman"/>
          <w:color w:val="auto"/>
          <w:sz w:val="24"/>
          <w:szCs w:val="24"/>
          <w:highlight w:val="none"/>
          <w:lang w:val="en-US" w:eastAsia="zh-CN"/>
        </w:rPr>
        <w:t>、乙方保证所提供的产品质量可靠，进货渠道正常，配置合理，技术性能完全满足采购文件要求；</w:t>
      </w:r>
    </w:p>
    <w:p w14:paraId="7D0D2A78">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6</w:t>
      </w:r>
      <w:r>
        <w:rPr>
          <w:rFonts w:hint="default" w:ascii="Times New Roman" w:hAnsi="Times New Roman" w:eastAsia="仿宋" w:cs="Times New Roman"/>
          <w:color w:val="auto"/>
          <w:sz w:val="24"/>
          <w:szCs w:val="24"/>
          <w:highlight w:val="none"/>
          <w:lang w:val="en-US" w:eastAsia="zh-CN"/>
        </w:rPr>
        <w:t>、若产品所用原材料或加工工艺造成的质量和内外观缺陷问题，由乙方负责解决并承担费用。（卖方保证货物是全新的、未曾使用过的、以工艺及材料制造，并保证所供产品的完整性，本合同产品为成套供货，合同总价中已包括满足产品完整运行的附件，备件，配套件等，产品质量应符合国标标准和本合同附件的要求,卖方应随产品提供检验报告。）</w:t>
      </w:r>
    </w:p>
    <w:p w14:paraId="493B8A28">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7</w:t>
      </w:r>
      <w:r>
        <w:rPr>
          <w:rFonts w:hint="default" w:ascii="Times New Roman" w:hAnsi="Times New Roman" w:eastAsia="仿宋" w:cs="Times New Roman"/>
          <w:color w:val="auto"/>
          <w:sz w:val="24"/>
          <w:szCs w:val="24"/>
          <w:highlight w:val="none"/>
          <w:lang w:val="en-US" w:eastAsia="zh-CN"/>
        </w:rPr>
        <w:t>、产品性能未达到技术要求的，乙方限期内进行整改；整改仍达不到要求的，甲方有权解除合同，保留依法索赔的权利。</w:t>
      </w:r>
    </w:p>
    <w:p w14:paraId="03E427D9">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r>
        <w:rPr>
          <w:rFonts w:hint="eastAsia" w:ascii="Times New Roman" w:hAnsi="Times New Roman" w:eastAsia="仿宋" w:cs="Times New Roman"/>
          <w:color w:val="auto"/>
          <w:sz w:val="24"/>
          <w:szCs w:val="24"/>
          <w:highlight w:val="none"/>
          <w:lang w:val="en-US" w:eastAsia="zh-CN"/>
        </w:rPr>
        <w:t>8</w:t>
      </w:r>
      <w:r>
        <w:rPr>
          <w:rFonts w:hint="default" w:ascii="Times New Roman" w:hAnsi="Times New Roman" w:eastAsia="仿宋" w:cs="Times New Roman"/>
          <w:color w:val="auto"/>
          <w:sz w:val="24"/>
          <w:szCs w:val="24"/>
          <w:highlight w:val="none"/>
          <w:lang w:val="en-US" w:eastAsia="zh-CN"/>
        </w:rPr>
        <w:t>、质保期内若发生产品质量问题，卖方应立即免费解决；否则，甲方有权从剩余合同款中支付相关费用。</w:t>
      </w:r>
    </w:p>
    <w:p w14:paraId="14757A81">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default" w:ascii="Times New Roman" w:hAnsi="Times New Roman" w:eastAsia="仿宋" w:cs="Times New Roman"/>
          <w:color w:val="auto"/>
          <w:sz w:val="24"/>
          <w:szCs w:val="24"/>
          <w:highlight w:val="none"/>
        </w:rPr>
      </w:pPr>
      <w:r>
        <w:rPr>
          <w:rFonts w:hint="eastAsia" w:ascii="Times New Roman" w:hAnsi="Times New Roman" w:eastAsia="仿宋" w:cs="Times New Roman"/>
          <w:color w:val="auto"/>
          <w:sz w:val="24"/>
          <w:szCs w:val="24"/>
          <w:highlight w:val="none"/>
          <w:lang w:val="en-US" w:eastAsia="zh-CN"/>
        </w:rPr>
        <w:t>9</w:t>
      </w:r>
      <w:r>
        <w:rPr>
          <w:rFonts w:hint="default" w:ascii="Times New Roman" w:hAnsi="Times New Roman" w:eastAsia="仿宋" w:cs="Times New Roman"/>
          <w:color w:val="auto"/>
          <w:sz w:val="24"/>
          <w:szCs w:val="24"/>
          <w:highlight w:val="none"/>
        </w:rPr>
        <w:t>、包装要求</w:t>
      </w:r>
    </w:p>
    <w:p w14:paraId="1D5F617B">
      <w:pPr>
        <w:keepNext w:val="0"/>
        <w:keepLines w:val="0"/>
        <w:pageBreakBefore w:val="0"/>
        <w:widowControl/>
        <w:shd w:val="clear"/>
        <w:kinsoku/>
        <w:wordWrap/>
        <w:overflowPunct/>
        <w:topLinePunct w:val="0"/>
        <w:bidi w:val="0"/>
        <w:adjustRightInd w:val="0"/>
        <w:snapToGrid w:val="0"/>
        <w:spacing w:line="360" w:lineRule="auto"/>
        <w:ind w:right="-11" w:firstLine="480" w:firstLineChars="200"/>
        <w:jc w:val="both"/>
        <w:outlineLvl w:val="0"/>
        <w:rPr>
          <w:rFonts w:hint="default" w:ascii="Times New Roman" w:hAnsi="Times New Roman" w:eastAsia="仿宋" w:cs="Times New Roman"/>
          <w:b w:val="0"/>
          <w:bCs w:val="0"/>
          <w:color w:val="auto"/>
          <w:highlight w:val="none"/>
        </w:rPr>
      </w:pPr>
      <w:bookmarkStart w:id="6" w:name="_Toc29820"/>
      <w:r>
        <w:rPr>
          <w:rFonts w:hint="default" w:ascii="Times New Roman" w:hAnsi="Times New Roman" w:eastAsia="仿宋" w:cs="Times New Roman"/>
          <w:color w:val="auto"/>
          <w:sz w:val="24"/>
          <w:szCs w:val="24"/>
          <w:highlight w:val="none"/>
          <w:lang w:eastAsia="zh-CN"/>
        </w:rPr>
        <w:t>（</w:t>
      </w:r>
      <w:r>
        <w:rPr>
          <w:rFonts w:hint="default" w:ascii="Times New Roman" w:hAnsi="Times New Roman" w:eastAsia="仿宋" w:cs="Times New Roman"/>
          <w:color w:val="auto"/>
          <w:sz w:val="24"/>
          <w:szCs w:val="24"/>
          <w:highlight w:val="none"/>
          <w:lang w:val="en-US" w:eastAsia="zh-CN"/>
        </w:rPr>
        <w:t>1）</w:t>
      </w:r>
      <w:r>
        <w:rPr>
          <w:rFonts w:hint="default" w:ascii="Times New Roman" w:hAnsi="Times New Roman" w:eastAsia="仿宋" w:cs="Times New Roman"/>
          <w:color w:val="auto"/>
          <w:sz w:val="24"/>
          <w:szCs w:val="24"/>
          <w:highlight w:val="none"/>
        </w:rPr>
        <w:t>除合同另有规定外，</w:t>
      </w:r>
      <w:r>
        <w:rPr>
          <w:rFonts w:hint="default" w:ascii="Times New Roman" w:hAnsi="Times New Roman" w:eastAsia="仿宋" w:cs="Times New Roman"/>
          <w:b w:val="0"/>
          <w:bCs w:val="0"/>
          <w:color w:val="auto"/>
          <w:highlight w:val="none"/>
        </w:rPr>
        <w:t>中标</w:t>
      </w:r>
      <w:r>
        <w:rPr>
          <w:rFonts w:hint="default" w:ascii="Times New Roman" w:hAnsi="Times New Roman" w:eastAsia="仿宋" w:cs="Times New Roman"/>
          <w:b w:val="0"/>
          <w:bCs w:val="0"/>
          <w:color w:val="auto"/>
          <w:highlight w:val="none"/>
          <w:lang w:eastAsia="zh-CN"/>
        </w:rPr>
        <w:t>人</w:t>
      </w:r>
      <w:r>
        <w:rPr>
          <w:rFonts w:hint="default" w:ascii="Times New Roman" w:hAnsi="Times New Roman" w:eastAsia="仿宋" w:cs="Times New Roman"/>
          <w:b w:val="0"/>
          <w:bCs w:val="0"/>
          <w:color w:val="auto"/>
          <w:highlight w:val="none"/>
        </w:rPr>
        <w:t>提供的全部货物，使包装应适应于远距离运输、防潮和防粗暴装卸，确保货物安全无损运抵现场。由于包装不善所引起的货物损坏和损失均由中标</w:t>
      </w:r>
      <w:r>
        <w:rPr>
          <w:rFonts w:hint="default" w:ascii="Times New Roman" w:hAnsi="Times New Roman" w:eastAsia="仿宋" w:cs="Times New Roman"/>
          <w:b w:val="0"/>
          <w:bCs w:val="0"/>
          <w:color w:val="auto"/>
          <w:highlight w:val="none"/>
          <w:lang w:eastAsia="zh-CN"/>
        </w:rPr>
        <w:t>人</w:t>
      </w:r>
      <w:r>
        <w:rPr>
          <w:rFonts w:hint="default" w:ascii="Times New Roman" w:hAnsi="Times New Roman" w:eastAsia="仿宋" w:cs="Times New Roman"/>
          <w:b w:val="0"/>
          <w:bCs w:val="0"/>
          <w:color w:val="auto"/>
          <w:highlight w:val="none"/>
        </w:rPr>
        <w:t>承担。</w:t>
      </w:r>
      <w:bookmarkEnd w:id="6"/>
    </w:p>
    <w:p w14:paraId="75353A2A">
      <w:pPr>
        <w:keepNext w:val="0"/>
        <w:keepLines w:val="0"/>
        <w:pageBreakBefore w:val="0"/>
        <w:widowControl/>
        <w:shd w:val="clear"/>
        <w:kinsoku/>
        <w:wordWrap/>
        <w:overflowPunct/>
        <w:topLinePunct w:val="0"/>
        <w:bidi w:val="0"/>
        <w:adjustRightInd w:val="0"/>
        <w:snapToGrid w:val="0"/>
        <w:spacing w:line="360" w:lineRule="auto"/>
        <w:ind w:right="-11" w:firstLine="480" w:firstLineChars="200"/>
        <w:jc w:val="both"/>
        <w:outlineLvl w:val="0"/>
        <w:rPr>
          <w:rFonts w:hint="default" w:ascii="Times New Roman" w:hAnsi="Times New Roman" w:eastAsia="仿宋" w:cs="Times New Roman"/>
          <w:b w:val="0"/>
          <w:bCs w:val="0"/>
          <w:color w:val="auto"/>
          <w:highlight w:val="none"/>
        </w:rPr>
      </w:pPr>
      <w:r>
        <w:rPr>
          <w:rFonts w:hint="default" w:ascii="Times New Roman" w:hAnsi="Times New Roman" w:eastAsia="仿宋" w:cs="Times New Roman"/>
          <w:color w:val="auto"/>
          <w:sz w:val="24"/>
          <w:szCs w:val="24"/>
          <w:highlight w:val="none"/>
          <w:lang w:val="en-US" w:eastAsia="zh-CN"/>
        </w:rPr>
        <w:t>6</w:t>
      </w:r>
      <w:r>
        <w:rPr>
          <w:rFonts w:hint="default" w:ascii="Times New Roman" w:hAnsi="Times New Roman" w:eastAsia="仿宋" w:cs="Times New Roman"/>
          <w:color w:val="auto"/>
          <w:sz w:val="24"/>
          <w:szCs w:val="24"/>
          <w:highlight w:val="none"/>
        </w:rPr>
        <w:t>、乙方应保证甲方在使用该货物或其任何一部分时免受第三方提出侵犯其</w:t>
      </w:r>
      <w:r>
        <w:rPr>
          <w:rFonts w:hint="default" w:ascii="Times New Roman" w:hAnsi="Times New Roman" w:eastAsia="仿宋" w:cs="Times New Roman"/>
          <w:b w:val="0"/>
          <w:bCs w:val="0"/>
          <w:color w:val="auto"/>
          <w:highlight w:val="none"/>
        </w:rPr>
        <w:t>专利权、商标权或工业设计权的起诉。</w:t>
      </w:r>
    </w:p>
    <w:p w14:paraId="6207461D">
      <w:pPr>
        <w:keepNext w:val="0"/>
        <w:keepLines w:val="0"/>
        <w:pageBreakBefore w:val="0"/>
        <w:widowControl/>
        <w:shd w:val="clear"/>
        <w:kinsoku/>
        <w:wordWrap/>
        <w:overflowPunct/>
        <w:topLinePunct w:val="0"/>
        <w:bidi w:val="0"/>
        <w:adjustRightInd w:val="0"/>
        <w:snapToGrid w:val="0"/>
        <w:spacing w:line="360" w:lineRule="auto"/>
        <w:ind w:right="-11" w:firstLine="420" w:firstLineChars="200"/>
        <w:jc w:val="both"/>
        <w:outlineLvl w:val="0"/>
        <w:rPr>
          <w:rFonts w:hint="eastAsia" w:ascii="Times New Roman" w:hAnsi="Times New Roman" w:eastAsia="仿宋" w:cs="Times New Roman"/>
          <w:b w:val="0"/>
          <w:bCs w:val="0"/>
          <w:color w:val="auto"/>
          <w:highlight w:val="none"/>
        </w:rPr>
      </w:pPr>
      <w:bookmarkStart w:id="7" w:name="_Toc19515391"/>
      <w:r>
        <w:rPr>
          <w:rFonts w:hint="default" w:ascii="Times New Roman" w:hAnsi="Times New Roman" w:eastAsia="仿宋" w:cs="Times New Roman"/>
          <w:b w:val="0"/>
          <w:bCs w:val="0"/>
          <w:color w:val="auto"/>
          <w:highlight w:val="none"/>
          <w:lang w:eastAsia="zh-CN"/>
        </w:rPr>
        <w:t>七</w:t>
      </w:r>
      <w:r>
        <w:rPr>
          <w:rFonts w:hint="default" w:ascii="Times New Roman" w:hAnsi="Times New Roman" w:eastAsia="仿宋" w:cs="Times New Roman"/>
          <w:b w:val="0"/>
          <w:bCs w:val="0"/>
          <w:color w:val="auto"/>
          <w:highlight w:val="none"/>
        </w:rPr>
        <w:t>、</w:t>
      </w:r>
      <w:r>
        <w:rPr>
          <w:rFonts w:hint="eastAsia" w:ascii="Times New Roman" w:hAnsi="Times New Roman" w:eastAsia="仿宋" w:cs="Times New Roman"/>
          <w:b w:val="0"/>
          <w:bCs w:val="0"/>
          <w:color w:val="auto"/>
          <w:highlight w:val="none"/>
        </w:rPr>
        <w:t>安装、调试及技术服务</w:t>
      </w:r>
    </w:p>
    <w:p w14:paraId="5E2E06B7">
      <w:pPr>
        <w:keepNext w:val="0"/>
        <w:keepLines w:val="0"/>
        <w:pageBreakBefore w:val="0"/>
        <w:widowControl/>
        <w:shd w:val="clear"/>
        <w:kinsoku/>
        <w:wordWrap/>
        <w:overflowPunct/>
        <w:topLinePunct w:val="0"/>
        <w:bidi w:val="0"/>
        <w:adjustRightInd w:val="0"/>
        <w:snapToGrid w:val="0"/>
        <w:spacing w:line="360" w:lineRule="auto"/>
        <w:ind w:right="-11" w:firstLine="420" w:firstLineChars="200"/>
        <w:jc w:val="both"/>
        <w:outlineLvl w:val="0"/>
        <w:rPr>
          <w:rFonts w:hint="eastAsia" w:ascii="Times New Roman" w:hAnsi="Times New Roman" w:eastAsia="仿宋" w:cs="Times New Roman"/>
          <w:b w:val="0"/>
          <w:bCs w:val="0"/>
          <w:color w:val="auto"/>
          <w:highlight w:val="none"/>
          <w:lang w:val="en-US" w:eastAsia="zh-CN"/>
        </w:rPr>
      </w:pPr>
      <w:r>
        <w:rPr>
          <w:rFonts w:hint="eastAsia" w:ascii="Times New Roman" w:hAnsi="Times New Roman" w:eastAsia="仿宋" w:cs="Times New Roman"/>
          <w:b w:val="0"/>
          <w:bCs w:val="0"/>
          <w:color w:val="auto"/>
          <w:highlight w:val="none"/>
          <w:lang w:val="en-US" w:eastAsia="zh-CN"/>
        </w:rPr>
        <w:t>1、技术资料包括：出厂检测报告、产品使用说明书、合格证等其它相关资料。</w:t>
      </w:r>
    </w:p>
    <w:p w14:paraId="2741CD62">
      <w:pPr>
        <w:keepNext w:val="0"/>
        <w:keepLines w:val="0"/>
        <w:pageBreakBefore w:val="0"/>
        <w:widowControl/>
        <w:shd w:val="clear"/>
        <w:kinsoku/>
        <w:wordWrap/>
        <w:overflowPunct/>
        <w:topLinePunct w:val="0"/>
        <w:bidi w:val="0"/>
        <w:adjustRightInd w:val="0"/>
        <w:snapToGrid w:val="0"/>
        <w:spacing w:line="360" w:lineRule="auto"/>
        <w:ind w:right="-11" w:firstLine="420" w:firstLineChars="200"/>
        <w:jc w:val="both"/>
        <w:outlineLvl w:val="0"/>
        <w:rPr>
          <w:rFonts w:hint="eastAsia" w:ascii="Times New Roman" w:hAnsi="Times New Roman" w:eastAsia="仿宋" w:cs="Times New Roman"/>
          <w:b w:val="0"/>
          <w:bCs w:val="0"/>
          <w:color w:val="auto"/>
          <w:highlight w:val="none"/>
          <w:lang w:val="en-US" w:eastAsia="zh-CN"/>
        </w:rPr>
      </w:pPr>
      <w:r>
        <w:rPr>
          <w:rFonts w:hint="eastAsia" w:ascii="Times New Roman" w:hAnsi="Times New Roman" w:eastAsia="仿宋" w:cs="Times New Roman"/>
          <w:b w:val="0"/>
          <w:bCs w:val="0"/>
          <w:color w:val="auto"/>
          <w:highlight w:val="none"/>
          <w:lang w:val="en-US" w:eastAsia="zh-CN"/>
        </w:rPr>
        <w:t>2、质保期内免费维护，并免费提供备品、备件，更换故障部件、产品等，乙方在接到用户对所购产品进行维修的要求后，48 小时内到用户现场进行维修服务，全部费用由乙方支付，若需将产品送回生产厂，由乙方支付维修产品所需的往返费用。</w:t>
      </w:r>
    </w:p>
    <w:p w14:paraId="27764EA4">
      <w:pPr>
        <w:keepNext w:val="0"/>
        <w:keepLines w:val="0"/>
        <w:pageBreakBefore w:val="0"/>
        <w:widowControl/>
        <w:shd w:val="clear"/>
        <w:kinsoku/>
        <w:wordWrap/>
        <w:overflowPunct/>
        <w:topLinePunct w:val="0"/>
        <w:bidi w:val="0"/>
        <w:adjustRightInd w:val="0"/>
        <w:snapToGrid w:val="0"/>
        <w:spacing w:line="360" w:lineRule="auto"/>
        <w:ind w:right="-11" w:firstLine="420" w:firstLineChars="200"/>
        <w:jc w:val="both"/>
        <w:outlineLvl w:val="0"/>
        <w:rPr>
          <w:rFonts w:hint="eastAsia" w:ascii="Times New Roman" w:hAnsi="Times New Roman" w:eastAsia="仿宋" w:cs="Times New Roman"/>
          <w:b w:val="0"/>
          <w:bCs w:val="0"/>
          <w:color w:val="auto"/>
          <w:highlight w:val="none"/>
          <w:lang w:val="en-US" w:eastAsia="zh-CN"/>
        </w:rPr>
      </w:pPr>
      <w:r>
        <w:rPr>
          <w:rFonts w:hint="eastAsia" w:ascii="Times New Roman" w:hAnsi="Times New Roman" w:eastAsia="仿宋" w:cs="Times New Roman"/>
          <w:b w:val="0"/>
          <w:bCs w:val="0"/>
          <w:color w:val="auto"/>
          <w:highlight w:val="none"/>
          <w:lang w:val="en-US" w:eastAsia="zh-CN"/>
        </w:rPr>
        <w:t>3、乙方保证产品完全按采购单位要求提供，若达不到要求，乙方须及时跟甲方沟通协商更换产品，并按照再次验收合格时间相应延长该产品保修期。</w:t>
      </w:r>
    </w:p>
    <w:p w14:paraId="7F241C4E">
      <w:pPr>
        <w:keepNext w:val="0"/>
        <w:keepLines w:val="0"/>
        <w:pageBreakBefore w:val="0"/>
        <w:widowControl/>
        <w:shd w:val="clear"/>
        <w:kinsoku/>
        <w:wordWrap/>
        <w:overflowPunct/>
        <w:topLinePunct w:val="0"/>
        <w:bidi w:val="0"/>
        <w:adjustRightInd w:val="0"/>
        <w:snapToGrid w:val="0"/>
        <w:spacing w:line="360" w:lineRule="auto"/>
        <w:ind w:right="-11" w:firstLine="420" w:firstLineChars="200"/>
        <w:jc w:val="both"/>
        <w:outlineLvl w:val="0"/>
        <w:rPr>
          <w:rFonts w:hint="eastAsia" w:ascii="Times New Roman" w:hAnsi="Times New Roman" w:eastAsia="仿宋" w:cs="Times New Roman"/>
          <w:b w:val="0"/>
          <w:bCs w:val="0"/>
          <w:color w:val="auto"/>
          <w:highlight w:val="none"/>
          <w:lang w:val="en-US" w:eastAsia="zh-CN"/>
        </w:rPr>
      </w:pPr>
      <w:r>
        <w:rPr>
          <w:rFonts w:hint="eastAsia" w:ascii="Times New Roman" w:hAnsi="Times New Roman" w:eastAsia="仿宋" w:cs="Times New Roman"/>
          <w:b w:val="0"/>
          <w:bCs w:val="0"/>
          <w:color w:val="auto"/>
          <w:highlight w:val="none"/>
          <w:lang w:val="en-US" w:eastAsia="zh-CN"/>
        </w:rPr>
        <w:t>4、服务承诺：按投标文件中的服务承诺执行。</w:t>
      </w:r>
    </w:p>
    <w:p w14:paraId="6C2A6489">
      <w:pPr>
        <w:keepNext w:val="0"/>
        <w:keepLines w:val="0"/>
        <w:pageBreakBefore w:val="0"/>
        <w:widowControl/>
        <w:shd w:val="clear"/>
        <w:kinsoku/>
        <w:wordWrap/>
        <w:overflowPunct/>
        <w:topLinePunct w:val="0"/>
        <w:bidi w:val="0"/>
        <w:adjustRightInd w:val="0"/>
        <w:snapToGrid w:val="0"/>
        <w:spacing w:line="360" w:lineRule="auto"/>
        <w:ind w:right="-11" w:firstLine="420" w:firstLineChars="200"/>
        <w:jc w:val="both"/>
        <w:outlineLvl w:val="0"/>
        <w:rPr>
          <w:rFonts w:hint="default" w:ascii="Times New Roman" w:hAnsi="Times New Roman" w:eastAsia="仿宋" w:cs="Times New Roman"/>
          <w:color w:val="auto"/>
          <w:sz w:val="24"/>
          <w:szCs w:val="24"/>
          <w:highlight w:val="none"/>
        </w:rPr>
      </w:pPr>
      <w:r>
        <w:rPr>
          <w:rFonts w:hint="eastAsia" w:ascii="Times New Roman" w:hAnsi="Times New Roman" w:eastAsia="仿宋" w:cs="Times New Roman"/>
          <w:b w:val="0"/>
          <w:bCs w:val="0"/>
          <w:color w:val="auto"/>
          <w:highlight w:val="none"/>
          <w:lang w:val="en-US" w:eastAsia="zh-CN"/>
        </w:rPr>
        <w:t>5、所有产品的安装调试均由乙方负责，且在安装调试过程中出现的安全责任问题由乙方全权负责。</w:t>
      </w:r>
    </w:p>
    <w:p w14:paraId="46AF3708">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八、产品包装及环保要求</w:t>
      </w:r>
    </w:p>
    <w:p w14:paraId="79E0CBA1">
      <w:pPr>
        <w:keepNext w:val="0"/>
        <w:keepLines w:val="0"/>
        <w:pageBreakBefore w:val="0"/>
        <w:widowControl/>
        <w:shd w:val="clear"/>
        <w:kinsoku/>
        <w:wordWrap/>
        <w:overflowPunct/>
        <w:topLinePunct w:val="0"/>
        <w:bidi w:val="0"/>
        <w:adjustRightInd w:val="0"/>
        <w:snapToGrid w:val="0"/>
        <w:spacing w:line="360" w:lineRule="auto"/>
        <w:ind w:firstLine="480" w:firstLineChars="200"/>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本项目标的产品如需要包装或快递的，乙方须严格按照“关于印发《商品包装政府采购需求标准（试行）》、 《快递包装政府采购需求标准（试行）》的通知（财办库〔2020〕123 号）”规定执行。</w:t>
      </w:r>
    </w:p>
    <w:bookmarkEnd w:id="7"/>
    <w:p w14:paraId="3D67B3E3">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lang w:val="en-US" w:eastAsia="zh-CN"/>
        </w:rPr>
      </w:pPr>
      <w:r>
        <w:rPr>
          <w:rFonts w:hint="default" w:ascii="Times New Roman" w:hAnsi="Times New Roman" w:eastAsia="仿宋" w:cs="Times New Roman"/>
          <w:color w:val="auto"/>
          <w:kern w:val="0"/>
          <w:sz w:val="24"/>
          <w:szCs w:val="24"/>
          <w:highlight w:val="none"/>
          <w:lang w:val="en-US" w:eastAsia="zh-CN"/>
        </w:rPr>
        <w:t>1、按《中华人民共和国民法典》中的相关条款执行。</w:t>
      </w:r>
    </w:p>
    <w:p w14:paraId="731ED7CE">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lang w:val="en-US" w:eastAsia="zh-CN"/>
        </w:rPr>
      </w:pPr>
      <w:r>
        <w:rPr>
          <w:rFonts w:hint="default" w:ascii="Times New Roman" w:hAnsi="Times New Roman" w:eastAsia="仿宋" w:cs="Times New Roman"/>
          <w:color w:val="auto"/>
          <w:kern w:val="0"/>
          <w:sz w:val="24"/>
          <w:szCs w:val="24"/>
          <w:highlight w:val="none"/>
          <w:lang w:val="en-US" w:eastAsia="zh-CN"/>
        </w:rPr>
        <w:t>2、未按合同要求提供产品或产品质量不能满足合同约定的技术要求，甲方有权终止合同，乙方须无条件全额退回甲方已付给乙方的货款，并向甲方支付合同总价款百分之十的违约金。并保留追究乙方违约责任的权利。</w:t>
      </w:r>
    </w:p>
    <w:p w14:paraId="298B9C8D">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lang w:val="en-US" w:eastAsia="zh-CN"/>
        </w:rPr>
      </w:pPr>
      <w:r>
        <w:rPr>
          <w:rFonts w:hint="default" w:ascii="Times New Roman" w:hAnsi="Times New Roman" w:eastAsia="仿宋" w:cs="Times New Roman"/>
          <w:color w:val="auto"/>
          <w:kern w:val="0"/>
          <w:sz w:val="24"/>
          <w:szCs w:val="24"/>
          <w:highlight w:val="none"/>
          <w:lang w:val="en-US" w:eastAsia="zh-CN"/>
        </w:rPr>
        <w:t>3、除甲乙双方共同认可的不可抗力因素外，乙方不得因节假日等任何原因迟延供货。如因乙方原因延迟供货的，乙方应按每天 3‰向甲方承担违约责任。延迟 30 天以上，甲方有权解除合同。产品质量问题违约的，除了按照迟延时间计算违约金外，另可以采取退货、换货等方式，由乙方承担一切费用。</w:t>
      </w:r>
    </w:p>
    <w:p w14:paraId="68A7C19C">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rPr>
      </w:pPr>
      <w:r>
        <w:rPr>
          <w:rFonts w:hint="eastAsia" w:ascii="Times New Roman" w:hAnsi="Times New Roman" w:eastAsia="仿宋" w:cs="Times New Roman"/>
          <w:color w:val="auto"/>
          <w:kern w:val="0"/>
          <w:sz w:val="24"/>
          <w:szCs w:val="24"/>
          <w:highlight w:val="none"/>
          <w:lang w:val="en-US" w:eastAsia="zh-CN"/>
        </w:rPr>
        <w:t>九</w:t>
      </w:r>
      <w:r>
        <w:rPr>
          <w:rFonts w:hint="default" w:ascii="Times New Roman" w:hAnsi="Times New Roman" w:eastAsia="仿宋" w:cs="Times New Roman"/>
          <w:color w:val="auto"/>
          <w:kern w:val="0"/>
          <w:sz w:val="24"/>
          <w:szCs w:val="24"/>
          <w:highlight w:val="none"/>
        </w:rPr>
        <w:t>、产品验收</w:t>
      </w:r>
    </w:p>
    <w:p w14:paraId="0F6F3478">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lang w:val="en-US" w:eastAsia="zh-CN"/>
        </w:rPr>
      </w:pPr>
      <w:r>
        <w:rPr>
          <w:rFonts w:hint="default" w:ascii="Times New Roman" w:hAnsi="Times New Roman" w:eastAsia="仿宋" w:cs="Times New Roman"/>
          <w:color w:val="auto"/>
          <w:kern w:val="0"/>
          <w:sz w:val="24"/>
          <w:szCs w:val="24"/>
          <w:highlight w:val="none"/>
          <w:lang w:val="en-US" w:eastAsia="zh-CN"/>
        </w:rPr>
        <w:t>1、验收由甲方相关人员组成的验收小组负责。分为项目初验和项目终验。</w:t>
      </w:r>
    </w:p>
    <w:p w14:paraId="59508E6D">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lang w:val="en-US" w:eastAsia="zh-CN"/>
        </w:rPr>
      </w:pPr>
      <w:r>
        <w:rPr>
          <w:rFonts w:hint="default" w:ascii="Times New Roman" w:hAnsi="Times New Roman" w:eastAsia="仿宋" w:cs="Times New Roman"/>
          <w:color w:val="auto"/>
          <w:kern w:val="0"/>
          <w:sz w:val="24"/>
          <w:szCs w:val="24"/>
          <w:highlight w:val="none"/>
          <w:lang w:val="en-US" w:eastAsia="zh-CN"/>
        </w:rPr>
        <w:t>2、项目初验：乙方安装调试完成后应提供详细的安装报告，并详细记录各种指示的实测数据，由使用单位进行初验。验收内容为审查验收安装及测试报告，现场查看产品使用情况。验收合格后，使用单位填写产品验收单。</w:t>
      </w:r>
    </w:p>
    <w:p w14:paraId="161E237E">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lang w:val="en-US" w:eastAsia="zh-CN"/>
        </w:rPr>
      </w:pPr>
      <w:r>
        <w:rPr>
          <w:rFonts w:hint="default" w:ascii="Times New Roman" w:hAnsi="Times New Roman" w:eastAsia="仿宋" w:cs="Times New Roman"/>
          <w:color w:val="auto"/>
          <w:kern w:val="0"/>
          <w:sz w:val="24"/>
          <w:szCs w:val="24"/>
          <w:highlight w:val="none"/>
          <w:lang w:val="en-US" w:eastAsia="zh-CN"/>
        </w:rPr>
        <w:t>3、项目整体验收：该项目初验合格后，甲方根据使用单位初步验收报告，组织相关人员或专家组成的验收小组对产品进行最终验收。验收所产生的相关费用由乙方承担。</w:t>
      </w:r>
    </w:p>
    <w:p w14:paraId="4BCC6A87">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lang w:val="en-US" w:eastAsia="zh-CN"/>
        </w:rPr>
      </w:pPr>
      <w:r>
        <w:rPr>
          <w:rFonts w:hint="default" w:ascii="Times New Roman" w:hAnsi="Times New Roman" w:eastAsia="仿宋" w:cs="Times New Roman"/>
          <w:color w:val="auto"/>
          <w:kern w:val="0"/>
          <w:sz w:val="24"/>
          <w:szCs w:val="24"/>
          <w:highlight w:val="none"/>
          <w:lang w:val="en-US" w:eastAsia="zh-CN"/>
        </w:rPr>
        <w:t>① 乙方提供完整的操作手册和安装、调试、维修手册；提供制造厂家的检验测试报告或产品出厂检测报告。</w:t>
      </w:r>
    </w:p>
    <w:p w14:paraId="36C6CF3A">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lang w:val="en-US" w:eastAsia="zh-CN"/>
        </w:rPr>
      </w:pPr>
      <w:r>
        <w:rPr>
          <w:rFonts w:hint="default" w:ascii="Times New Roman" w:hAnsi="Times New Roman" w:eastAsia="仿宋" w:cs="Times New Roman"/>
          <w:color w:val="auto"/>
          <w:kern w:val="0"/>
          <w:sz w:val="24"/>
          <w:szCs w:val="24"/>
          <w:highlight w:val="none"/>
          <w:lang w:val="en-US" w:eastAsia="zh-CN"/>
        </w:rPr>
        <w:t>②甲方根据合同要求对产品进行验收、确认产品的产地、规格、型号和数量。验收依据为本合同文本、投标文件和国内相应的标准、规范。</w:t>
      </w:r>
    </w:p>
    <w:p w14:paraId="1BD0BAF3">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lang w:val="en-US" w:eastAsia="zh-CN"/>
        </w:rPr>
      </w:pPr>
      <w:r>
        <w:rPr>
          <w:rFonts w:hint="default" w:ascii="Times New Roman" w:hAnsi="Times New Roman" w:eastAsia="仿宋" w:cs="Times New Roman"/>
          <w:color w:val="auto"/>
          <w:kern w:val="0"/>
          <w:sz w:val="24"/>
          <w:szCs w:val="24"/>
          <w:highlight w:val="none"/>
          <w:lang w:val="en-US" w:eastAsia="zh-CN"/>
        </w:rPr>
        <w:t>4、验收合格后，填写产品验收单，并向甲方提交产品所包含的所有资料，以便使用单位日后管理和维护。</w:t>
      </w:r>
    </w:p>
    <w:p w14:paraId="1B4A46DF">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lang w:val="en-US" w:eastAsia="zh-CN"/>
        </w:rPr>
      </w:pPr>
      <w:r>
        <w:rPr>
          <w:rFonts w:hint="default" w:ascii="Times New Roman" w:hAnsi="Times New Roman" w:eastAsia="仿宋" w:cs="Times New Roman"/>
          <w:color w:val="auto"/>
          <w:kern w:val="0"/>
          <w:sz w:val="24"/>
          <w:szCs w:val="24"/>
          <w:highlight w:val="none"/>
          <w:lang w:val="en-US" w:eastAsia="zh-CN"/>
        </w:rPr>
        <w:t>5、在交割以前产品所发生的一切损失及费用由乙方承担。性能达到技术要求的，验收通过；验收不合格的，限期整改；整改仍达不到要求的，按本合同第八条第 2 款处理。</w:t>
      </w:r>
    </w:p>
    <w:p w14:paraId="0EE23610">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lang w:val="en-US" w:eastAsia="zh-CN"/>
        </w:rPr>
      </w:pPr>
      <w:r>
        <w:rPr>
          <w:rFonts w:hint="default" w:ascii="Times New Roman" w:hAnsi="Times New Roman" w:eastAsia="仿宋" w:cs="Times New Roman"/>
          <w:color w:val="auto"/>
          <w:kern w:val="0"/>
          <w:sz w:val="24"/>
          <w:szCs w:val="24"/>
          <w:highlight w:val="none"/>
          <w:lang w:val="en-US" w:eastAsia="zh-CN"/>
        </w:rPr>
        <w:t>6、如因货物的质量问题发生争议，由甲方属地技术质量监督部门进行质量鉴定；货物符合质量标准的，鉴定费由甲方承担；货物不符合质量标准的，鉴定费由乙方承担。</w:t>
      </w:r>
    </w:p>
    <w:p w14:paraId="646F1935">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lang w:val="en-US" w:eastAsia="zh-CN"/>
        </w:rPr>
      </w:pPr>
      <w:r>
        <w:rPr>
          <w:rFonts w:hint="default" w:ascii="Times New Roman" w:hAnsi="Times New Roman" w:eastAsia="仿宋" w:cs="Times New Roman"/>
          <w:color w:val="auto"/>
          <w:kern w:val="0"/>
          <w:sz w:val="24"/>
          <w:szCs w:val="24"/>
          <w:highlight w:val="none"/>
          <w:lang w:val="en-US" w:eastAsia="zh-CN"/>
        </w:rPr>
        <w:t>7、采购人在产品验收合格后 2 个工作日内，在</w:t>
      </w:r>
      <w:r>
        <w:rPr>
          <w:rFonts w:hint="eastAsia" w:ascii="Times New Roman" w:hAnsi="Times New Roman" w:eastAsia="仿宋" w:cs="Times New Roman"/>
          <w:color w:val="auto"/>
          <w:kern w:val="0"/>
          <w:sz w:val="24"/>
          <w:szCs w:val="24"/>
          <w:highlight w:val="none"/>
          <w:lang w:val="en-US" w:eastAsia="zh-CN"/>
        </w:rPr>
        <w:t>“</w:t>
      </w:r>
      <w:r>
        <w:rPr>
          <w:rFonts w:hint="default" w:ascii="Times New Roman" w:hAnsi="Times New Roman" w:eastAsia="仿宋" w:cs="Times New Roman"/>
          <w:color w:val="auto"/>
          <w:kern w:val="0"/>
          <w:sz w:val="24"/>
          <w:szCs w:val="24"/>
          <w:highlight w:val="none"/>
          <w:lang w:val="en-US" w:eastAsia="zh-CN"/>
        </w:rPr>
        <w:t>陕西省政府采购网</w:t>
      </w:r>
      <w:r>
        <w:rPr>
          <w:rFonts w:hint="eastAsia" w:ascii="Times New Roman" w:hAnsi="Times New Roman" w:eastAsia="仿宋" w:cs="Times New Roman"/>
          <w:color w:val="auto"/>
          <w:kern w:val="0"/>
          <w:sz w:val="24"/>
          <w:szCs w:val="24"/>
          <w:highlight w:val="none"/>
          <w:lang w:val="en-US" w:eastAsia="zh-CN"/>
        </w:rPr>
        <w:t>”</w:t>
      </w:r>
      <w:r>
        <w:rPr>
          <w:rFonts w:hint="default" w:ascii="Times New Roman" w:hAnsi="Times New Roman" w:eastAsia="仿宋" w:cs="Times New Roman"/>
          <w:color w:val="auto"/>
          <w:kern w:val="0"/>
          <w:sz w:val="24"/>
          <w:szCs w:val="24"/>
          <w:highlight w:val="none"/>
          <w:lang w:val="en-US" w:eastAsia="zh-CN"/>
        </w:rPr>
        <w:t>备案登记。</w:t>
      </w:r>
    </w:p>
    <w:p w14:paraId="0FC1FC64">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lang w:val="en-US" w:eastAsia="zh-CN"/>
        </w:rPr>
      </w:pPr>
      <w:r>
        <w:rPr>
          <w:rFonts w:hint="eastAsia" w:ascii="Times New Roman" w:hAnsi="Times New Roman" w:eastAsia="仿宋" w:cs="Times New Roman"/>
          <w:color w:val="auto"/>
          <w:kern w:val="0"/>
          <w:sz w:val="24"/>
          <w:szCs w:val="24"/>
          <w:highlight w:val="none"/>
          <w:lang w:val="en-US" w:eastAsia="zh-CN"/>
        </w:rPr>
        <w:t>十</w:t>
      </w:r>
      <w:r>
        <w:rPr>
          <w:rFonts w:hint="default" w:ascii="Times New Roman" w:hAnsi="Times New Roman" w:eastAsia="仿宋" w:cs="Times New Roman"/>
          <w:color w:val="auto"/>
          <w:kern w:val="0"/>
          <w:sz w:val="24"/>
          <w:szCs w:val="24"/>
          <w:highlight w:val="none"/>
          <w:lang w:val="en-US" w:eastAsia="zh-CN"/>
        </w:rPr>
        <w:t>、合同争议的解决</w:t>
      </w:r>
    </w:p>
    <w:p w14:paraId="313E593C">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lang w:val="en-US" w:eastAsia="zh-CN"/>
        </w:rPr>
      </w:pPr>
      <w:r>
        <w:rPr>
          <w:rFonts w:hint="default" w:ascii="Times New Roman" w:hAnsi="Times New Roman" w:eastAsia="仿宋" w:cs="Times New Roman"/>
          <w:color w:val="auto"/>
          <w:kern w:val="0"/>
          <w:sz w:val="24"/>
          <w:szCs w:val="24"/>
          <w:highlight w:val="none"/>
          <w:lang w:val="en-US" w:eastAsia="zh-CN"/>
        </w:rPr>
        <w:t>合同一经签订，不得随意变更、中止或终止。对确需变更、调整或者中止、终止合同的，应按规定履行相应的手续。</w:t>
      </w:r>
    </w:p>
    <w:p w14:paraId="6936A21D">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lang w:val="en-US" w:eastAsia="zh-CN"/>
        </w:rPr>
      </w:pPr>
      <w:r>
        <w:rPr>
          <w:rFonts w:hint="default" w:ascii="Times New Roman" w:hAnsi="Times New Roman" w:eastAsia="仿宋" w:cs="Times New Roman"/>
          <w:color w:val="auto"/>
          <w:kern w:val="0"/>
          <w:sz w:val="24"/>
          <w:szCs w:val="24"/>
          <w:highlight w:val="none"/>
          <w:lang w:val="en-US" w:eastAsia="zh-CN"/>
        </w:rPr>
        <w:t>合同执行中发生争议的，甲、乙双方应协商解决，协商达不成一致时，可向甲方所在地人民法院提起诉讼。</w:t>
      </w:r>
    </w:p>
    <w:p w14:paraId="488C5FDB">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lang w:val="en-US" w:eastAsia="zh-CN"/>
        </w:rPr>
        <w:t>十</w:t>
      </w:r>
      <w:r>
        <w:rPr>
          <w:rFonts w:hint="eastAsia" w:ascii="Times New Roman" w:hAnsi="Times New Roman" w:eastAsia="仿宋" w:cs="Times New Roman"/>
          <w:color w:val="auto"/>
          <w:kern w:val="0"/>
          <w:sz w:val="24"/>
          <w:szCs w:val="24"/>
          <w:highlight w:val="none"/>
          <w:lang w:val="en-US" w:eastAsia="zh-CN"/>
        </w:rPr>
        <w:t>一</w:t>
      </w:r>
      <w:r>
        <w:rPr>
          <w:rFonts w:hint="default" w:ascii="Times New Roman" w:hAnsi="Times New Roman" w:eastAsia="仿宋" w:cs="Times New Roman"/>
          <w:color w:val="auto"/>
          <w:kern w:val="0"/>
          <w:sz w:val="24"/>
          <w:szCs w:val="24"/>
          <w:highlight w:val="none"/>
        </w:rPr>
        <w:t>、其它约定事项</w:t>
      </w:r>
    </w:p>
    <w:p w14:paraId="6DB9ADB7">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1、本合同自双方代表人签字并，加盖公章后生效，约定的义务履行完毕后终止。</w:t>
      </w:r>
    </w:p>
    <w:p w14:paraId="3CB39DE8">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2、合同执行期间，如一方因故不能履行或需要变更，必须经双方协商一致。</w:t>
      </w:r>
    </w:p>
    <w:p w14:paraId="52E20D51">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3、本合同未尽事宜，双方另行商定。</w:t>
      </w:r>
    </w:p>
    <w:p w14:paraId="7BC9CE77">
      <w:pPr>
        <w:keepNext w:val="0"/>
        <w:keepLines w:val="0"/>
        <w:pageBreakBefore w:val="0"/>
        <w:widowControl/>
        <w:shd w:val="clear"/>
        <w:tabs>
          <w:tab w:val="left" w:pos="8391"/>
        </w:tabs>
        <w:kinsoku/>
        <w:wordWrap/>
        <w:overflowPunct/>
        <w:topLinePunct w:val="0"/>
        <w:autoSpaceDE w:val="0"/>
        <w:autoSpaceDN w:val="0"/>
        <w:bidi w:val="0"/>
        <w:adjustRightInd w:val="0"/>
        <w:snapToGrid w:val="0"/>
        <w:spacing w:line="360" w:lineRule="auto"/>
        <w:ind w:right="-69" w:firstLine="480" w:firstLineChars="200"/>
        <w:textAlignment w:val="bottom"/>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4、本合同一式肆份，甲乙方各执贰份。</w:t>
      </w:r>
    </w:p>
    <w:p w14:paraId="20DDA295">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default" w:ascii="Times New Roman" w:hAnsi="Times New Roman" w:eastAsia="仿宋" w:cs="Times New Roman"/>
          <w:color w:val="auto"/>
          <w:sz w:val="24"/>
          <w:szCs w:val="24"/>
          <w:highlight w:val="none"/>
          <w:u w:val="single"/>
        </w:rPr>
      </w:pPr>
    </w:p>
    <w:p w14:paraId="1326C93F">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default" w:ascii="Times New Roman" w:hAnsi="Times New Roman" w:eastAsia="仿宋" w:cs="Times New Roman"/>
          <w:color w:val="auto"/>
          <w:sz w:val="24"/>
          <w:szCs w:val="24"/>
          <w:highlight w:val="none"/>
          <w:u w:val="single"/>
        </w:rPr>
      </w:pPr>
    </w:p>
    <w:p w14:paraId="7E15A9A0">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default" w:ascii="Times New Roman" w:hAnsi="Times New Roman" w:eastAsia="仿宋" w:cs="Times New Roman"/>
          <w:b/>
          <w:color w:val="auto"/>
          <w:kern w:val="44"/>
          <w:sz w:val="24"/>
          <w:szCs w:val="24"/>
          <w:highlight w:val="none"/>
          <w:lang w:eastAsia="zh-CN"/>
        </w:rPr>
      </w:pPr>
    </w:p>
    <w:tbl>
      <w:tblPr>
        <w:tblStyle w:val="4"/>
        <w:tblpPr w:leftFromText="180" w:rightFromText="180" w:vertAnchor="text" w:horzAnchor="page" w:tblpX="1915" w:tblpY="48"/>
        <w:tblOverlap w:val="never"/>
        <w:tblW w:w="0" w:type="auto"/>
        <w:tblInd w:w="0" w:type="dxa"/>
        <w:tblLayout w:type="fixed"/>
        <w:tblCellMar>
          <w:top w:w="0" w:type="dxa"/>
          <w:left w:w="108" w:type="dxa"/>
          <w:bottom w:w="0" w:type="dxa"/>
          <w:right w:w="108" w:type="dxa"/>
        </w:tblCellMar>
      </w:tblPr>
      <w:tblGrid>
        <w:gridCol w:w="4180"/>
        <w:gridCol w:w="4180"/>
      </w:tblGrid>
      <w:tr w14:paraId="7D4DA4D0">
        <w:tblPrEx>
          <w:tblCellMar>
            <w:top w:w="0" w:type="dxa"/>
            <w:left w:w="108" w:type="dxa"/>
            <w:bottom w:w="0" w:type="dxa"/>
            <w:right w:w="108" w:type="dxa"/>
          </w:tblCellMar>
        </w:tblPrEx>
        <w:trPr>
          <w:trHeight w:val="3855" w:hRule="atLeast"/>
        </w:trPr>
        <w:tc>
          <w:tcPr>
            <w:tcW w:w="4180" w:type="dxa"/>
            <w:noWrap w:val="0"/>
            <w:vAlign w:val="top"/>
          </w:tcPr>
          <w:p w14:paraId="2C9394A3">
            <w:pPr>
              <w:keepNext w:val="0"/>
              <w:keepLines w:val="0"/>
              <w:pageBreakBefore w:val="0"/>
              <w:widowControl/>
              <w:shd w:val="clear"/>
              <w:kinsoku/>
              <w:wordWrap/>
              <w:overflowPunct/>
              <w:topLinePunct w:val="0"/>
              <w:autoSpaceDE w:val="0"/>
              <w:autoSpaceDN w:val="0"/>
              <w:bidi w:val="0"/>
              <w:adjustRightInd/>
              <w:snapToGrid w:val="0"/>
              <w:spacing w:line="480" w:lineRule="auto"/>
              <w:ind w:right="-153"/>
              <w:textAlignment w:val="bottom"/>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甲方名称</w:t>
            </w:r>
            <w:r>
              <w:rPr>
                <w:rFonts w:hint="default" w:ascii="Times New Roman" w:hAnsi="Times New Roman" w:eastAsia="仿宋" w:cs="Times New Roman"/>
                <w:color w:val="auto"/>
                <w:spacing w:val="-20"/>
                <w:kern w:val="0"/>
                <w:sz w:val="24"/>
                <w:szCs w:val="24"/>
                <w:highlight w:val="none"/>
              </w:rPr>
              <w:t>（盖章）</w:t>
            </w:r>
            <w:r>
              <w:rPr>
                <w:rFonts w:hint="default" w:ascii="Times New Roman" w:hAnsi="Times New Roman" w:eastAsia="仿宋" w:cs="Times New Roman"/>
                <w:color w:val="auto"/>
                <w:kern w:val="0"/>
                <w:sz w:val="24"/>
                <w:szCs w:val="24"/>
                <w:highlight w:val="none"/>
              </w:rPr>
              <w:t>:</w:t>
            </w:r>
          </w:p>
          <w:p w14:paraId="22AE958E">
            <w:pPr>
              <w:keepNext w:val="0"/>
              <w:keepLines w:val="0"/>
              <w:pageBreakBefore w:val="0"/>
              <w:widowControl/>
              <w:shd w:val="clear"/>
              <w:kinsoku/>
              <w:wordWrap/>
              <w:overflowPunct/>
              <w:topLinePunct w:val="0"/>
              <w:autoSpaceDE w:val="0"/>
              <w:autoSpaceDN w:val="0"/>
              <w:bidi w:val="0"/>
              <w:adjustRightInd/>
              <w:snapToGrid w:val="0"/>
              <w:spacing w:line="480" w:lineRule="auto"/>
              <w:ind w:right="-153"/>
              <w:textAlignment w:val="bottom"/>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地址：</w:t>
            </w:r>
          </w:p>
          <w:p w14:paraId="1C70EE45">
            <w:pPr>
              <w:keepNext w:val="0"/>
              <w:keepLines w:val="0"/>
              <w:pageBreakBefore w:val="0"/>
              <w:widowControl/>
              <w:shd w:val="clear"/>
              <w:kinsoku/>
              <w:wordWrap/>
              <w:overflowPunct/>
              <w:topLinePunct w:val="0"/>
              <w:autoSpaceDE w:val="0"/>
              <w:autoSpaceDN w:val="0"/>
              <w:bidi w:val="0"/>
              <w:adjustRightInd/>
              <w:snapToGrid w:val="0"/>
              <w:spacing w:line="480" w:lineRule="auto"/>
              <w:ind w:right="-153"/>
              <w:textAlignment w:val="bottom"/>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代表人（签字）：</w:t>
            </w:r>
          </w:p>
          <w:p w14:paraId="599AB6AA">
            <w:pPr>
              <w:keepNext w:val="0"/>
              <w:keepLines w:val="0"/>
              <w:pageBreakBefore w:val="0"/>
              <w:widowControl/>
              <w:shd w:val="clear"/>
              <w:kinsoku/>
              <w:wordWrap/>
              <w:overflowPunct/>
              <w:topLinePunct w:val="0"/>
              <w:autoSpaceDE w:val="0"/>
              <w:autoSpaceDN w:val="0"/>
              <w:bidi w:val="0"/>
              <w:adjustRightInd/>
              <w:snapToGrid w:val="0"/>
              <w:spacing w:line="480" w:lineRule="auto"/>
              <w:ind w:right="-153"/>
              <w:textAlignment w:val="bottom"/>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电话：</w:t>
            </w:r>
          </w:p>
          <w:p w14:paraId="713ED4A8">
            <w:pPr>
              <w:keepNext w:val="0"/>
              <w:keepLines w:val="0"/>
              <w:pageBreakBefore w:val="0"/>
              <w:widowControl/>
              <w:shd w:val="clear"/>
              <w:kinsoku/>
              <w:wordWrap/>
              <w:overflowPunct/>
              <w:topLinePunct w:val="0"/>
              <w:autoSpaceDE w:val="0"/>
              <w:autoSpaceDN w:val="0"/>
              <w:bidi w:val="0"/>
              <w:adjustRightInd/>
              <w:snapToGrid w:val="0"/>
              <w:spacing w:line="480" w:lineRule="auto"/>
              <w:ind w:right="-153"/>
              <w:textAlignment w:val="bottom"/>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开户银行：</w:t>
            </w:r>
          </w:p>
          <w:p w14:paraId="0BBF1100">
            <w:pPr>
              <w:keepNext w:val="0"/>
              <w:keepLines w:val="0"/>
              <w:pageBreakBefore w:val="0"/>
              <w:widowControl/>
              <w:shd w:val="clear"/>
              <w:kinsoku/>
              <w:wordWrap/>
              <w:overflowPunct/>
              <w:topLinePunct w:val="0"/>
              <w:autoSpaceDE w:val="0"/>
              <w:autoSpaceDN w:val="0"/>
              <w:bidi w:val="0"/>
              <w:adjustRightInd/>
              <w:snapToGrid w:val="0"/>
              <w:spacing w:line="480" w:lineRule="auto"/>
              <w:ind w:right="-153"/>
              <w:textAlignment w:val="bottom"/>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帐号：</w:t>
            </w:r>
          </w:p>
        </w:tc>
        <w:tc>
          <w:tcPr>
            <w:tcW w:w="4180" w:type="dxa"/>
            <w:noWrap w:val="0"/>
            <w:vAlign w:val="top"/>
          </w:tcPr>
          <w:p w14:paraId="243DA4C6">
            <w:pPr>
              <w:keepNext w:val="0"/>
              <w:keepLines w:val="0"/>
              <w:pageBreakBefore w:val="0"/>
              <w:widowControl/>
              <w:shd w:val="clear"/>
              <w:kinsoku/>
              <w:wordWrap/>
              <w:overflowPunct/>
              <w:topLinePunct w:val="0"/>
              <w:autoSpaceDE w:val="0"/>
              <w:autoSpaceDN w:val="0"/>
              <w:bidi w:val="0"/>
              <w:adjustRightInd/>
              <w:snapToGrid w:val="0"/>
              <w:spacing w:line="480" w:lineRule="auto"/>
              <w:ind w:right="-153"/>
              <w:textAlignment w:val="bottom"/>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乙方名称</w:t>
            </w:r>
            <w:r>
              <w:rPr>
                <w:rFonts w:hint="default" w:ascii="Times New Roman" w:hAnsi="Times New Roman" w:eastAsia="仿宋" w:cs="Times New Roman"/>
                <w:color w:val="auto"/>
                <w:spacing w:val="-20"/>
                <w:kern w:val="0"/>
                <w:sz w:val="24"/>
                <w:szCs w:val="24"/>
                <w:highlight w:val="none"/>
              </w:rPr>
              <w:t>（盖章）</w:t>
            </w:r>
            <w:r>
              <w:rPr>
                <w:rFonts w:hint="default" w:ascii="Times New Roman" w:hAnsi="Times New Roman" w:eastAsia="仿宋" w:cs="Times New Roman"/>
                <w:color w:val="auto"/>
                <w:kern w:val="0"/>
                <w:sz w:val="24"/>
                <w:szCs w:val="24"/>
                <w:highlight w:val="none"/>
              </w:rPr>
              <w:t>:</w:t>
            </w:r>
          </w:p>
          <w:p w14:paraId="184C27EB">
            <w:pPr>
              <w:keepNext w:val="0"/>
              <w:keepLines w:val="0"/>
              <w:pageBreakBefore w:val="0"/>
              <w:widowControl/>
              <w:shd w:val="clear"/>
              <w:kinsoku/>
              <w:wordWrap/>
              <w:overflowPunct/>
              <w:topLinePunct w:val="0"/>
              <w:autoSpaceDE w:val="0"/>
              <w:autoSpaceDN w:val="0"/>
              <w:bidi w:val="0"/>
              <w:adjustRightInd/>
              <w:snapToGrid w:val="0"/>
              <w:spacing w:line="480" w:lineRule="auto"/>
              <w:ind w:right="-153"/>
              <w:textAlignment w:val="bottom"/>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地址：</w:t>
            </w:r>
          </w:p>
          <w:p w14:paraId="68DAECF5">
            <w:pPr>
              <w:keepNext w:val="0"/>
              <w:keepLines w:val="0"/>
              <w:pageBreakBefore w:val="0"/>
              <w:widowControl/>
              <w:shd w:val="clear"/>
              <w:kinsoku/>
              <w:wordWrap/>
              <w:overflowPunct/>
              <w:topLinePunct w:val="0"/>
              <w:autoSpaceDE w:val="0"/>
              <w:autoSpaceDN w:val="0"/>
              <w:bidi w:val="0"/>
              <w:adjustRightInd/>
              <w:snapToGrid w:val="0"/>
              <w:spacing w:line="480" w:lineRule="auto"/>
              <w:ind w:right="-153"/>
              <w:textAlignment w:val="bottom"/>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代表人（签字）：</w:t>
            </w:r>
          </w:p>
          <w:p w14:paraId="22CC32EB">
            <w:pPr>
              <w:keepNext w:val="0"/>
              <w:keepLines w:val="0"/>
              <w:pageBreakBefore w:val="0"/>
              <w:widowControl/>
              <w:shd w:val="clear"/>
              <w:kinsoku/>
              <w:wordWrap/>
              <w:overflowPunct/>
              <w:topLinePunct w:val="0"/>
              <w:autoSpaceDE w:val="0"/>
              <w:autoSpaceDN w:val="0"/>
              <w:bidi w:val="0"/>
              <w:adjustRightInd/>
              <w:snapToGrid w:val="0"/>
              <w:spacing w:line="480" w:lineRule="auto"/>
              <w:ind w:right="-153"/>
              <w:textAlignment w:val="bottom"/>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电话：</w:t>
            </w:r>
          </w:p>
          <w:p w14:paraId="27545C2A">
            <w:pPr>
              <w:keepNext w:val="0"/>
              <w:keepLines w:val="0"/>
              <w:pageBreakBefore w:val="0"/>
              <w:widowControl/>
              <w:shd w:val="clear"/>
              <w:kinsoku/>
              <w:wordWrap/>
              <w:overflowPunct/>
              <w:topLinePunct w:val="0"/>
              <w:autoSpaceDE w:val="0"/>
              <w:autoSpaceDN w:val="0"/>
              <w:bidi w:val="0"/>
              <w:adjustRightInd/>
              <w:snapToGrid w:val="0"/>
              <w:spacing w:line="480" w:lineRule="auto"/>
              <w:ind w:right="-153"/>
              <w:textAlignment w:val="bottom"/>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开户银行：</w:t>
            </w:r>
          </w:p>
          <w:p w14:paraId="394CA38F">
            <w:pPr>
              <w:keepNext w:val="0"/>
              <w:keepLines w:val="0"/>
              <w:pageBreakBefore w:val="0"/>
              <w:widowControl/>
              <w:shd w:val="clear"/>
              <w:kinsoku/>
              <w:wordWrap/>
              <w:overflowPunct/>
              <w:topLinePunct w:val="0"/>
              <w:autoSpaceDE w:val="0"/>
              <w:autoSpaceDN w:val="0"/>
              <w:bidi w:val="0"/>
              <w:adjustRightInd/>
              <w:snapToGrid w:val="0"/>
              <w:spacing w:line="480" w:lineRule="auto"/>
              <w:ind w:right="-153"/>
              <w:textAlignment w:val="bottom"/>
              <w:rPr>
                <w:rFonts w:hint="default" w:ascii="Times New Roman" w:hAnsi="Times New Roman" w:eastAsia="仿宋" w:cs="Times New Roman"/>
                <w:color w:val="auto"/>
                <w:kern w:val="0"/>
                <w:sz w:val="24"/>
                <w:szCs w:val="24"/>
                <w:highlight w:val="none"/>
              </w:rPr>
            </w:pPr>
            <w:r>
              <w:rPr>
                <w:rFonts w:hint="default" w:ascii="Times New Roman" w:hAnsi="Times New Roman" w:eastAsia="仿宋" w:cs="Times New Roman"/>
                <w:color w:val="auto"/>
                <w:kern w:val="0"/>
                <w:sz w:val="24"/>
                <w:szCs w:val="24"/>
                <w:highlight w:val="none"/>
              </w:rPr>
              <w:t>帐号：</w:t>
            </w:r>
          </w:p>
        </w:tc>
      </w:tr>
    </w:tbl>
    <w:p w14:paraId="1F4F104D">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default" w:ascii="Times New Roman" w:hAnsi="Times New Roman" w:eastAsia="仿宋" w:cs="Times New Roman"/>
          <w:b/>
          <w:color w:val="auto"/>
          <w:kern w:val="44"/>
          <w:sz w:val="24"/>
          <w:szCs w:val="24"/>
          <w:highlight w:val="none"/>
          <w:lang w:eastAsia="zh-CN"/>
        </w:rPr>
      </w:pPr>
    </w:p>
    <w:p w14:paraId="6E51C5BC">
      <w:pPr>
        <w:keepNext w:val="0"/>
        <w:keepLines w:val="0"/>
        <w:pageBreakBefore w:val="0"/>
        <w:widowControl w:val="0"/>
        <w:shd w:val="clear"/>
        <w:kinsoku/>
        <w:wordWrap/>
        <w:overflowPunct/>
        <w:topLinePunct w:val="0"/>
        <w:autoSpaceDE/>
        <w:autoSpaceDN/>
        <w:bidi w:val="0"/>
        <w:adjustRightInd w:val="0"/>
        <w:snapToGrid w:val="0"/>
        <w:spacing w:line="360" w:lineRule="auto"/>
        <w:textAlignment w:val="auto"/>
        <w:rPr>
          <w:rFonts w:hint="default" w:ascii="Times New Roman" w:hAnsi="Times New Roman" w:eastAsia="仿宋" w:cs="Times New Roman"/>
          <w:b/>
          <w:color w:val="auto"/>
          <w:kern w:val="44"/>
          <w:sz w:val="24"/>
          <w:szCs w:val="24"/>
          <w:highlight w:val="none"/>
          <w:lang w:eastAsia="zh-CN"/>
        </w:rPr>
      </w:pPr>
    </w:p>
    <w:p w14:paraId="66080B15">
      <w:pPr>
        <w:shd w:val="clear"/>
        <w:rPr>
          <w:rFonts w:hint="default" w:ascii="Times New Roman" w:hAnsi="Times New Roman" w:eastAsia="仿宋" w:cs="Times New Roman"/>
          <w:highlight w:val="none"/>
        </w:rPr>
      </w:pPr>
    </w:p>
    <w:p w14:paraId="477DEC35">
      <w:pPr>
        <w:pStyle w:val="8"/>
        <w:shd w:val="clear"/>
        <w:rPr>
          <w:rFonts w:hint="eastAsia"/>
          <w:highlight w:val="none"/>
          <w:lang w:val="en-US" w:eastAsia="zh-Hans"/>
        </w:rPr>
      </w:pPr>
      <w:r>
        <w:rPr>
          <w:rFonts w:hint="default" w:ascii="Times New Roman" w:hAnsi="Times New Roman" w:eastAsia="仿宋" w:cs="Times New Roman"/>
          <w:b/>
          <w:color w:val="auto"/>
          <w:kern w:val="44"/>
          <w:sz w:val="24"/>
          <w:szCs w:val="24"/>
          <w:highlight w:val="none"/>
          <w:lang w:eastAsia="zh-CN"/>
        </w:rPr>
        <w:t>注：本合同未定事宜，双方可根据具体情况结合有关规定另行签订补充协议，补充协议与本合同具有同等法律效力。</w:t>
      </w:r>
    </w:p>
    <w:p w14:paraId="40E073B8">
      <w:pPr>
        <w:pStyle w:val="8"/>
      </w:pPr>
    </w:p>
    <w:p w14:paraId="5DFA895E">
      <w:pPr>
        <w:pStyle w:val="8"/>
        <w:rPr>
          <w:rFonts w:hint="eastAsia"/>
          <w:lang w:val="en-US" w:eastAsia="zh-Hans"/>
        </w:rPr>
      </w:pPr>
    </w:p>
    <w:p w14:paraId="7FB3032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5D220"/>
    <w:multiLevelType w:val="singleLevel"/>
    <w:tmpl w:val="B995D220"/>
    <w:lvl w:ilvl="0" w:tentative="0">
      <w:start w:val="1"/>
      <w:numFmt w:val="chineseCounting"/>
      <w:suff w:val="nothing"/>
      <w:lvlText w:val="%1、"/>
      <w:lvlJc w:val="left"/>
      <w:rPr>
        <w:rFonts w:hint="eastAsia"/>
      </w:rPr>
    </w:lvl>
  </w:abstractNum>
  <w:abstractNum w:abstractNumId="1">
    <w:nsid w:val="6D4132C2"/>
    <w:multiLevelType w:val="multilevel"/>
    <w:tmpl w:val="6D4132C2"/>
    <w:lvl w:ilvl="0" w:tentative="0">
      <w:start w:val="1"/>
      <w:numFmt w:val="none"/>
      <w:pStyle w:val="2"/>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AC4D96"/>
    <w:rsid w:val="472A2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numPr>
        <w:ilvl w:val="0"/>
        <w:numId w:val="1"/>
      </w:numPr>
      <w:spacing w:before="50" w:beforeLines="50" w:after="50" w:afterLines="50"/>
      <w:jc w:val="center"/>
      <w:outlineLvl w:val="0"/>
    </w:pPr>
    <w:rPr>
      <w:rFonts w:ascii="Calibri" w:hAnsi="Calibri" w:eastAsia="黑体"/>
      <w:bCs/>
      <w:kern w:val="36"/>
      <w:sz w:val="32"/>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ind w:right="-84" w:rightChars="-40"/>
      <w:jc w:val="center"/>
    </w:pPr>
    <w:rPr>
      <w:sz w:val="20"/>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autoRedefine/>
    <w:qFormat/>
    <w:uiPriority w:val="34"/>
    <w:pPr>
      <w:ind w:firstLine="420" w:firstLineChars="200"/>
    </w:pPr>
  </w:style>
  <w:style w:type="paragraph" w:customStyle="1" w:styleId="8">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2817</Words>
  <Characters>2848</Characters>
  <Lines>0</Lines>
  <Paragraphs>0</Paragraphs>
  <TotalTime>0</TotalTime>
  <ScaleCrop>false</ScaleCrop>
  <LinksUpToDate>false</LinksUpToDate>
  <CharactersWithSpaces>2896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2025-10-08T10:12:00Z</dcterms:created>
  <dc:creator>Dell</dc:creator>
  <cp:lastModifiedBy>Victory*</cp:lastModifiedBy>
  <dcterms:modified xsi:type="dcterms:W3CDTF">2025-10-08T10:30:43Z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eyJoZGlkIjoiYWI4MWY4N2I4YzYwNTI2YmQxMWQ3NTgzMDQ0YTBiZTYiLCJ1c2VySWQiOiIzMDkyOTM3ODIifQ==</vt:lpwstr>
  </property>
  <property fmtid="{D5CDD505-2E9C-101B-9397-08002B2CF9AE}" pid="4" name="ICV">
    <vt:lpwstr>F3C75C5EBDC74E17B5C736FFAE44B575_12</vt:lpwstr>
  </property>
</Properties>
</file>