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版本号：ZZB2025-CSZB058.1B120251009001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2025年度长安区王莽街道稻地江村、清水头村中央扶持发展新型农村集体经济项目(二次)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ZZB2025-CSZB058.1B1</w:t>
      </w:r>
      <w:r>
        <w:br/>
      </w:r>
      <w:r>
        <w:br/>
      </w:r>
      <w:r>
        <w:br/>
      </w:r>
    </w:p>
    <w:p>
      <w:pPr>
        <w:pStyle w:val="null3"/>
        <w:jc w:val="center"/>
        <w:outlineLvl w:val="2"/>
      </w:pPr>
      <w:r>
        <w:rPr>
          <w:rFonts w:ascii="仿宋_GB2312" w:hAnsi="仿宋_GB2312" w:cs="仿宋_GB2312" w:eastAsia="仿宋_GB2312"/>
          <w:sz w:val="28"/>
          <w:b/>
        </w:rPr>
        <w:t>西安市长安区王莽街道办事处</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西安市长安区王莽街道办事处</w:t>
      </w:r>
      <w:r>
        <w:rPr>
          <w:rFonts w:ascii="仿宋_GB2312" w:hAnsi="仿宋_GB2312" w:cs="仿宋_GB2312" w:eastAsia="仿宋_GB2312"/>
        </w:rPr>
        <w:t>委托，拟对</w:t>
      </w:r>
      <w:r>
        <w:rPr>
          <w:rFonts w:ascii="仿宋_GB2312" w:hAnsi="仿宋_GB2312" w:cs="仿宋_GB2312" w:eastAsia="仿宋_GB2312"/>
        </w:rPr>
        <w:t>2025年度长安区王莽街道稻地江村、清水头村中央扶持发展新型农村集体经济项目(二次)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ZZB2025-CSZB058.1B1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2025年度长安区王莽街道稻地江村、清水头村中央扶持发展新型农村集体经济项目(二次)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包1：新建智能控制大棚，配备顶开窗系统18套、保温、降温、灌溉、中央空调、环境监测、可拆卸棚膜支架、等智能控制系统设备，配备移动升降机1套、移动打药机2套、旋耕机1套、智能育苗柜5套、除草机2套、分体空调1套、移动柴油发电机1套、冷库1座等具体见工程量清单及施工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采购包1（稻地江村建设智能大棚）：属于专门面向中小企业采购。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1、营业执照等主体资格证明文件：提供注册登记凭证（营业执照或其他组织经营的合法凭证或自然人的提供身份证明文件）；</w:t>
      </w:r>
    </w:p>
    <w:p>
      <w:pPr>
        <w:pStyle w:val="null3"/>
      </w:pPr>
      <w:r>
        <w:rPr>
          <w:rFonts w:ascii="仿宋_GB2312" w:hAnsi="仿宋_GB2312" w:cs="仿宋_GB2312" w:eastAsia="仿宋_GB2312"/>
        </w:rPr>
        <w:t>2、法定代表人授权委托书：法定代表人直接参加磋商的，须出具法定代表人身份证明书及身份证；法定代表人委托代理人参加磋商的，须出具法定代表人授权委托书及委托代理人身份证；</w:t>
      </w:r>
    </w:p>
    <w:p>
      <w:pPr>
        <w:pStyle w:val="null3"/>
      </w:pPr>
      <w:r>
        <w:rPr>
          <w:rFonts w:ascii="仿宋_GB2312" w:hAnsi="仿宋_GB2312" w:cs="仿宋_GB2312" w:eastAsia="仿宋_GB2312"/>
        </w:rPr>
        <w:t>3、财务状况报告：提供2023或2024年度经审计的财务报告（应当包括资产负债表、利润表、现金流量表、所有者权益变动表、附注）或提供竞争性磋商响应文件递交截止时间前六个月内其开户银行出具的资信证明；供应商注册时间截至竞争性磋商响应文件递交截止时间不足一年的，可提供成立后任意时段的资产负债表；</w:t>
      </w:r>
    </w:p>
    <w:p>
      <w:pPr>
        <w:pStyle w:val="null3"/>
      </w:pPr>
      <w:r>
        <w:rPr>
          <w:rFonts w:ascii="仿宋_GB2312" w:hAnsi="仿宋_GB2312" w:cs="仿宋_GB2312" w:eastAsia="仿宋_GB2312"/>
        </w:rPr>
        <w:t>4、税收缴纳证明：提供响应文件递交截止日前一年内已缴存的至少一个月的纳税证明或完税证明。依法免税的供应商应提供相关文件证明；</w:t>
      </w:r>
    </w:p>
    <w:p>
      <w:pPr>
        <w:pStyle w:val="null3"/>
      </w:pPr>
      <w:r>
        <w:rPr>
          <w:rFonts w:ascii="仿宋_GB2312" w:hAnsi="仿宋_GB2312" w:cs="仿宋_GB2312" w:eastAsia="仿宋_GB2312"/>
        </w:rPr>
        <w:t>5、社会保障资金缴纳证明：提供响应文件递交截止日前一年内已缴存的至少一个月的社会保障资金的凭据（专用收据或社会保险缴纳清单），依法不需要缴纳社会保障资金的单位应提供相关证明材料；</w:t>
      </w:r>
    </w:p>
    <w:p>
      <w:pPr>
        <w:pStyle w:val="null3"/>
      </w:pPr>
      <w:r>
        <w:rPr>
          <w:rFonts w:ascii="仿宋_GB2312" w:hAnsi="仿宋_GB2312" w:cs="仿宋_GB2312" w:eastAsia="仿宋_GB2312"/>
        </w:rPr>
        <w:t>6、履行能力：具备履行合同所必需的设备和专业技术能力的证明材料或书面声明；</w:t>
      </w:r>
    </w:p>
    <w:p>
      <w:pPr>
        <w:pStyle w:val="null3"/>
      </w:pPr>
      <w:r>
        <w:rPr>
          <w:rFonts w:ascii="仿宋_GB2312" w:hAnsi="仿宋_GB2312" w:cs="仿宋_GB2312" w:eastAsia="仿宋_GB2312"/>
        </w:rPr>
        <w:t>7、没有重大违法记录：参加政府采购活动前三年内在经营活动中没有重大违法记录的书面声明；</w:t>
      </w:r>
    </w:p>
    <w:p>
      <w:pPr>
        <w:pStyle w:val="null3"/>
      </w:pPr>
      <w:r>
        <w:rPr>
          <w:rFonts w:ascii="仿宋_GB2312" w:hAnsi="仿宋_GB2312" w:cs="仿宋_GB2312" w:eastAsia="仿宋_GB2312"/>
        </w:rPr>
        <w:t>8、信誉：供应商未被列入“中国执行信息公开网”（https://zxgk.court.gov.cn/）失信被执行人名单，未被列入“信用中国”网站（https://www.creditchina.gov.cn/）重大税收违法失信主体名单，未被列入“中国政府采购网”（http://www.ccgp.gov.cn/） 政府采购严重违法失信行为记录名单；（提供承诺书，格式自拟。）</w:t>
      </w:r>
    </w:p>
    <w:p>
      <w:pPr>
        <w:pStyle w:val="null3"/>
      </w:pPr>
      <w:r>
        <w:rPr>
          <w:rFonts w:ascii="仿宋_GB2312" w:hAnsi="仿宋_GB2312" w:cs="仿宋_GB2312" w:eastAsia="仿宋_GB2312"/>
        </w:rPr>
        <w:t>9、非联合体不分包投标声明：供应商应提供《非联合体不分包投标声明》，视为独立投标，不分包。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西安市长安区王莽街道办事处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王莽街道西王莽村甲子1号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王翔</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029-85936118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政府采购中心</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采购包1：697,014.65元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代理服务费收费标准：1、代理服务费：参照国家计委《计价格[2002]1980号》招标代理服务费管理暂行办法》和《国家发改委办公厅发改价格[2003]857号》、[2011]534号规定标准计算收取。 2、中标（成交）供应商在领取成交通知书时，须向采购代理机构一次性支付招标代理服务费。 3、代理服务费账户：①采购代理机构开户名称：中志标建设项目管理咨询有限公司；②开户行名称：华夏银行股份有限公司西安高新技术开发区支行；③账号：11451000000616457。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西安市长安区王莽街道办事处</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西安市长安区王莽街道办事处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西安市长安区王莽街道办事处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w:t>
      </w:r>
    </w:p>
    <w:p>
      <w:pPr>
        <w:pStyle w:val="null3"/>
      </w:pPr>
      <w:r>
        <w:rPr>
          <w:rFonts w:ascii="仿宋_GB2312" w:hAnsi="仿宋_GB2312" w:cs="仿宋_GB2312" w:eastAsia="仿宋_GB2312"/>
        </w:rPr>
        <w:t>联系电话：18292000147</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697,014.65</w:t>
      </w:r>
    </w:p>
    <w:p>
      <w:pPr>
        <w:pStyle w:val="null3"/>
      </w:pPr>
      <w:r>
        <w:rPr>
          <w:rFonts w:ascii="仿宋_GB2312" w:hAnsi="仿宋_GB2312" w:cs="仿宋_GB2312" w:eastAsia="仿宋_GB2312"/>
        </w:rPr>
        <w:t>采购包最高限价（元）: 697,014.65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稻地江村建设智能大棚</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697,014.65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农、林、牧、渔业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标的名称：稻地江村建设智能大棚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jc w:val="left"/>
            </w:pPr>
            <w:r>
              <w:rPr>
                <w:rFonts w:ascii="仿宋_GB2312" w:hAnsi="仿宋_GB2312" w:cs="仿宋_GB2312" w:eastAsia="仿宋_GB2312"/>
                <w:sz w:val="21"/>
              </w:rPr>
              <w:t>项目</w:t>
            </w:r>
            <w:r>
              <w:rPr>
                <w:rFonts w:ascii="仿宋_GB2312" w:hAnsi="仿宋_GB2312" w:cs="仿宋_GB2312" w:eastAsia="仿宋_GB2312"/>
                <w:sz w:val="21"/>
              </w:rPr>
              <w:t>位于西安市</w:t>
            </w:r>
            <w:r>
              <w:rPr>
                <w:rFonts w:ascii="仿宋_GB2312" w:hAnsi="仿宋_GB2312" w:cs="仿宋_GB2312" w:eastAsia="仿宋_GB2312"/>
                <w:sz w:val="21"/>
              </w:rPr>
              <w:t>长安区王莽街道稻地江村阿霸的稻田农场内</w:t>
            </w:r>
            <w:r>
              <w:rPr>
                <w:rFonts w:ascii="仿宋_GB2312" w:hAnsi="仿宋_GB2312" w:cs="仿宋_GB2312" w:eastAsia="仿宋_GB2312"/>
                <w:sz w:val="21"/>
              </w:rPr>
              <w:t>,建设智能温控玻璃大棚设备设施采购安装面积约为1248 ㎡，新建冷库占地面积21m²；包含</w:t>
            </w:r>
            <w:r>
              <w:rPr>
                <w:rFonts w:ascii="仿宋_GB2312" w:hAnsi="仿宋_GB2312" w:cs="仿宋_GB2312" w:eastAsia="仿宋_GB2312"/>
                <w:sz w:val="21"/>
              </w:rPr>
              <w:t>顶开窗系统、内外遮阳系统、内保温系统、降温系统、四周保温系统、可拆卸棚膜支架</w:t>
            </w:r>
            <w:r>
              <w:rPr>
                <w:rFonts w:ascii="仿宋_GB2312" w:hAnsi="仿宋_GB2312" w:cs="仿宋_GB2312" w:eastAsia="仿宋_GB2312"/>
                <w:sz w:val="21"/>
              </w:rPr>
              <w:t>、</w:t>
            </w:r>
            <w:r>
              <w:rPr>
                <w:rFonts w:ascii="仿宋_GB2312" w:hAnsi="仿宋_GB2312" w:cs="仿宋_GB2312" w:eastAsia="仿宋_GB2312"/>
                <w:sz w:val="21"/>
              </w:rPr>
              <w:t>智能施灌系统、中央空调补温系统、智能环境监测设备、照明系统、配电网络、智能育苗柜、苗床等</w:t>
            </w:r>
            <w:r>
              <w:rPr>
                <w:rFonts w:ascii="仿宋_GB2312" w:hAnsi="仿宋_GB2312" w:cs="仿宋_GB2312" w:eastAsia="仿宋_GB2312"/>
                <w:sz w:val="21"/>
              </w:rPr>
              <w:t>,购置移动升降机、移动打药机、手推旋耕机、除草机、移动柴油发电机等设备</w:t>
            </w:r>
            <w:r>
              <w:rPr>
                <w:rFonts w:ascii="仿宋_GB2312" w:hAnsi="仿宋_GB2312" w:cs="仿宋_GB2312" w:eastAsia="仿宋_GB2312"/>
                <w:sz w:val="21"/>
              </w:rPr>
              <w:t>。具体见工程量清单及施工图纸。</w:t>
            </w:r>
          </w:p>
          <w:p>
            <w:pPr>
              <w:pStyle w:val="null3"/>
              <w:jc w:val="both"/>
            </w:pPr>
            <w:r>
              <w:rPr>
                <w:rFonts w:ascii="仿宋_GB2312" w:hAnsi="仿宋_GB2312" w:cs="仿宋_GB2312" w:eastAsia="仿宋_GB2312"/>
                <w:sz w:val="21"/>
                <w:b/>
              </w:rPr>
              <w:t>二、工程量清单</w:t>
            </w:r>
            <w:r>
              <w:rPr>
                <w:rFonts w:ascii="仿宋_GB2312" w:hAnsi="仿宋_GB2312" w:cs="仿宋_GB2312" w:eastAsia="仿宋_GB2312"/>
                <w:sz w:val="21"/>
                <w:b/>
              </w:rPr>
              <w:t>编制依据</w:t>
            </w:r>
          </w:p>
          <w:p>
            <w:pPr>
              <w:pStyle w:val="null3"/>
              <w:jc w:val="both"/>
            </w:pPr>
            <w:r>
              <w:rPr>
                <w:rFonts w:ascii="仿宋_GB2312" w:hAnsi="仿宋_GB2312" w:cs="仿宋_GB2312" w:eastAsia="仿宋_GB2312"/>
                <w:sz w:val="21"/>
              </w:rPr>
              <w:t>1、《陕西省建设工程工程量清单计价规则（</w:t>
            </w:r>
            <w:r>
              <w:rPr>
                <w:rFonts w:ascii="仿宋_GB2312" w:hAnsi="仿宋_GB2312" w:cs="仿宋_GB2312" w:eastAsia="仿宋_GB2312"/>
                <w:sz w:val="21"/>
              </w:rPr>
              <w:t>2025）》；</w:t>
            </w:r>
          </w:p>
          <w:p>
            <w:pPr>
              <w:pStyle w:val="null3"/>
              <w:jc w:val="both"/>
            </w:pPr>
            <w:r>
              <w:rPr>
                <w:rFonts w:ascii="仿宋_GB2312" w:hAnsi="仿宋_GB2312" w:cs="仿宋_GB2312" w:eastAsia="仿宋_GB2312"/>
                <w:sz w:val="21"/>
              </w:rPr>
              <w:t>2、工程设计文件及相关资料；</w:t>
            </w:r>
          </w:p>
          <w:p>
            <w:pPr>
              <w:pStyle w:val="null3"/>
              <w:jc w:val="both"/>
            </w:pPr>
            <w:r>
              <w:rPr>
                <w:rFonts w:ascii="仿宋_GB2312" w:hAnsi="仿宋_GB2312" w:cs="仿宋_GB2312" w:eastAsia="仿宋_GB2312"/>
                <w:sz w:val="21"/>
              </w:rPr>
              <w:t>3、软件采用广联达云计价平台</w:t>
            </w:r>
            <w:r>
              <w:rPr>
                <w:rFonts w:ascii="仿宋_GB2312" w:hAnsi="仿宋_GB2312" w:cs="仿宋_GB2312" w:eastAsia="仿宋_GB2312"/>
                <w:sz w:val="21"/>
              </w:rPr>
              <w:t>GCCP7.0（7.5000.23.1）。</w:t>
            </w:r>
          </w:p>
          <w:p>
            <w:pPr>
              <w:pStyle w:val="null3"/>
              <w:jc w:val="both"/>
            </w:pPr>
            <w:r>
              <w:rPr>
                <w:rFonts w:ascii="仿宋_GB2312" w:hAnsi="仿宋_GB2312" w:cs="仿宋_GB2312" w:eastAsia="仿宋_GB2312"/>
                <w:sz w:val="21"/>
                <w:b/>
              </w:rPr>
              <w:t>三</w:t>
            </w:r>
            <w:r>
              <w:rPr>
                <w:rFonts w:ascii="仿宋_GB2312" w:hAnsi="仿宋_GB2312" w:cs="仿宋_GB2312" w:eastAsia="仿宋_GB2312"/>
                <w:sz w:val="21"/>
                <w:b/>
              </w:rPr>
              <w:t>、其他说明</w:t>
            </w:r>
          </w:p>
          <w:p>
            <w:pPr>
              <w:pStyle w:val="null3"/>
              <w:jc w:val="left"/>
            </w:pPr>
            <w:r>
              <w:rPr>
                <w:rFonts w:ascii="仿宋_GB2312" w:hAnsi="仿宋_GB2312" w:cs="仿宋_GB2312" w:eastAsia="仿宋_GB2312"/>
                <w:sz w:val="21"/>
              </w:rPr>
              <w:t>1、埋地电缆YJY-3*25+2*16图纸未体现，根据设计回复暂按150m计量；</w:t>
            </w:r>
          </w:p>
          <w:p>
            <w:pPr>
              <w:pStyle w:val="null3"/>
              <w:jc w:val="left"/>
            </w:pPr>
            <w:r>
              <w:rPr>
                <w:rFonts w:ascii="仿宋_GB2312" w:hAnsi="仿宋_GB2312" w:cs="仿宋_GB2312" w:eastAsia="仿宋_GB2312"/>
                <w:sz w:val="21"/>
              </w:rPr>
              <w:t>2、喷灌喷头根据设计回复暂按420个计量；</w:t>
            </w:r>
          </w:p>
          <w:p>
            <w:pPr>
              <w:pStyle w:val="null3"/>
              <w:jc w:val="left"/>
            </w:pPr>
            <w:r>
              <w:rPr>
                <w:rFonts w:ascii="仿宋_GB2312" w:hAnsi="仿宋_GB2312" w:cs="仿宋_GB2312" w:eastAsia="仿宋_GB2312"/>
                <w:sz w:val="21"/>
              </w:rPr>
              <w:t>3、暂列金按32000元计入；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工程量清单及电子版详见附件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、工期：</w:t>
            </w:r>
            <w:r>
              <w:rPr>
                <w:rFonts w:ascii="仿宋_GB2312" w:hAnsi="仿宋_GB2312" w:cs="仿宋_GB2312" w:eastAsia="仿宋_GB2312"/>
                <w:sz w:val="21"/>
              </w:rPr>
              <w:t>自合同签订</w:t>
            </w:r>
            <w:r>
              <w:rPr>
                <w:rFonts w:ascii="仿宋_GB2312" w:hAnsi="仿宋_GB2312" w:cs="仿宋_GB2312" w:eastAsia="仿宋_GB2312"/>
                <w:sz w:val="21"/>
              </w:rPr>
              <w:t>生效</w:t>
            </w:r>
            <w:r>
              <w:rPr>
                <w:rFonts w:ascii="仿宋_GB2312" w:hAnsi="仿宋_GB2312" w:cs="仿宋_GB2312" w:eastAsia="仿宋_GB2312"/>
                <w:sz w:val="21"/>
              </w:rPr>
              <w:t>之日起</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 xml:space="preserve">45 </w:t>
            </w:r>
            <w:r>
              <w:rPr>
                <w:rFonts w:ascii="仿宋_GB2312" w:hAnsi="仿宋_GB2312" w:cs="仿宋_GB2312" w:eastAsia="仿宋_GB2312"/>
                <w:sz w:val="21"/>
              </w:rPr>
              <w:t>日历</w:t>
            </w:r>
            <w:r>
              <w:rPr>
                <w:rFonts w:ascii="仿宋_GB2312" w:hAnsi="仿宋_GB2312" w:cs="仿宋_GB2312" w:eastAsia="仿宋_GB2312"/>
                <w:sz w:val="21"/>
              </w:rPr>
              <w:t>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响应文件，同时，线下提交纸质响应文件正本壹份、副本贰份、电子版U盘贰份。若电子响应文件与纸质响应文件不一致的，以电子响应文件为准；若正本和副本不符，以正本为准。响应文件正、副本分别各自装订成册密封，电子版U盘与正本一起密封。在封口处加盖供应商公章。 2.递交截止时间同在线递交电子响应文件截止时间一致。线下递交文件地点：陕西省西安市雁塔区科技西路绿地鸿海大厦A座11806室。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提供注册登记凭证（营业执照或其他组织经营的合法凭证或自然人的提供身份证明文件）；</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法定代表人直接参加磋商的，须出具法定代表人身份证明书及身份证；法定代表人委托代理人参加磋商的，须出具法定代表人授权委托书及委托代理人身份证；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经审计的财务报告（应当包括资产负债表、利润表、现金流量表、所有者权益变动表、附注）或提供竞争性磋商响应文件递交截止时间前六个月内其开户银行出具的资信证明；供应商注册时间截至竞争性磋商响应文件递交截止时间不足一年的，可提供成立后任意时段的资产负债表；</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提供响应文件递交截止日前一年内已缴存的至少一个月的社会保障资金的凭据（专用收据或社会保险缴纳清单），依法不需要缴纳社会保障资金的单位应提供相关证明材料；</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未被列入“中国执行信息公开网”（https://zxgk.court.gov.cn/）失信被执行人名单，未被列入“信用中国”网站（https://www.creditchina.gov.cn/）重大税收违法失信主体名单，未被列入“中国政府采购网”（http://www.ccgp.gov.cn/） 政府采购严重违法失信行为记录名单；（提供承诺书，格式自拟。）</w:t>
            </w:r>
          </w:p>
        </w:tc>
        <w:tc>
          <w:tcPr>
            <w:tcW w:type="dxa" w:w="1661"/>
          </w:tcPr>
          <w:p>
            <w:pPr>
              <w:pStyle w:val="null3"/>
            </w:pPr>
            <w:r>
              <w:rPr>
                <w:rFonts w:ascii="仿宋_GB2312" w:hAnsi="仿宋_GB2312" w:cs="仿宋_GB2312" w:eastAsia="仿宋_GB2312"/>
              </w:rPr>
              <w:t>供应商提供的相关资格证明材料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供应商应提供《非联合体不分包投标声明》，视为独立投标，不分包。</w:t>
            </w:r>
          </w:p>
        </w:tc>
        <w:tc>
          <w:tcPr>
            <w:tcW w:type="dxa" w:w="1661"/>
          </w:tcPr>
          <w:p>
            <w:pPr>
              <w:pStyle w:val="null3"/>
            </w:pPr>
            <w:r>
              <w:rPr>
                <w:rFonts w:ascii="仿宋_GB2312" w:hAnsi="仿宋_GB2312" w:cs="仿宋_GB2312" w:eastAsia="仿宋_GB2312"/>
              </w:rPr>
              <w:t>供应商提供的相关资格证明材料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技术方案详细说明 报价函 标的清单 技术服务合同条款及其他商务要求应答表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技术方案详细说明 报价函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技术方案详细说明 报价函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（1）报价表填写符合要求；（2）计量单位、报价货币均符合磋商文件要求；（3）未超出采购预算或磋商文件规定的最高限价。</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技术方案详细说明 报价函 技术服务合同条款及其他商务要求应答表 标的清单 陕西省政府采购供应商拒绝政府采购领域商业贿赂承诺书 响应函 监狱企业的证明文件 供应商提供的相关资格证明材料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报价函 技术方案详细说明 技术服务合同条款及其他商务要求应答表 标的清单 陕西省政府采购供应商拒绝政府采购领域商业贿赂承诺书 响应函 监狱企业的证明文件 供应商提供的相关资格证明材料</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施工组织设计应按以下内容编制： （1）项目经理部的组成与职责 （2）施工部署及总平面布置 （3）施工进度计划与措施 （4）施工方案及技术措施 （5）质量管理体系与措施 （6）安全管理体系与措施 （7）文明施工与环境保护体系与措施 （8）主要材料、构配件计划 （9）主要机械设备供应计划 （10）劳动力安排 对以上十项进行赋分评审，单项得分应在2.5-5.0之间。评审施工组织设计的项目，以上十项任意一项有缺项或不能满足工程质量、安全、工期、环保等实际施工要求的，即为不合格。施工组织设计被评为不合格的，应有三分之二及以上磋商小组的一致意见，该项得0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技术方案详细说明</w:t>
            </w:r>
          </w:p>
        </w:tc>
      </w:tr>
      <w:tr>
        <w:tc>
          <w:tcPr>
            <w:tcW w:type="dxa" w:w="831"/>
            <w:vMerge/>
          </w:tcPr>
          <w:p/>
        </w:tc>
        <w:tc>
          <w:tcPr>
            <w:tcW w:type="dxa" w:w="1661"/>
          </w:tcPr>
          <w:p>
            <w:pPr>
              <w:pStyle w:val="null3"/>
            </w:pPr>
            <w:r>
              <w:rPr>
                <w:rFonts w:ascii="仿宋_GB2312" w:hAnsi="仿宋_GB2312" w:cs="仿宋_GB2312" w:eastAsia="仿宋_GB2312"/>
              </w:rPr>
              <w:t>工程质量服务承诺</w:t>
            </w:r>
          </w:p>
        </w:tc>
        <w:tc>
          <w:tcPr>
            <w:tcW w:type="dxa" w:w="2492"/>
          </w:tcPr>
          <w:p>
            <w:pPr>
              <w:pStyle w:val="null3"/>
            </w:pPr>
            <w:r>
              <w:rPr>
                <w:rFonts w:ascii="仿宋_GB2312" w:hAnsi="仿宋_GB2312" w:cs="仿宋_GB2312" w:eastAsia="仿宋_GB2312"/>
              </w:rPr>
              <w:t>根据供应商对本项目作出的质量保证及服务承诺优秀得（13-20）分；良好得（6-13）分；一般得[1-6）分；不提供不得分。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技术方案详细说明</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供应商近三年（合同签订日期2022年09月至今）类似项目业绩有一项得2分，最高得15分。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技术方案详细说明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价不得高于磋商文件中的最高限价，若高出将视为废标。2.磋商评审小组分别与供应商进行价格商讨，并进行第二次报价，如果磋商小组认为有必要，可以要求供应商进行多轮报价，直至采购人对磋商报价满意为止。最终报价进入磋商报价评审。3.满足竞争性磋商文件要求且最终投标报价最低的供应商磋商报价为评标基准价，其价格分为15分，其他供应商的价格分按照下列公式计算：投标报价得分=（评标基准价/投标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详见附件：供应商提供的相关资格证明材料</w:t>
      </w:r>
    </w:p>
    <w:p>
      <w:pPr>
        <w:pStyle w:val="null3"/>
        <w:ind w:firstLine="960"/>
      </w:pPr>
      <w:r>
        <w:rPr>
          <w:rFonts w:ascii="仿宋_GB2312" w:hAnsi="仿宋_GB2312" w:cs="仿宋_GB2312" w:eastAsia="仿宋_GB2312"/>
        </w:rPr>
        <w:t>详见附件：技术方案详细说明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