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版本号：KHXM-ZB-252620251009001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长安区魏寨街道耶柿村、彭村实用性村庄规划编制项目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KHXM-ZB-2526</w:t>
      </w:r>
      <w:r>
        <w:br/>
      </w:r>
      <w:r>
        <w:br/>
      </w:r>
      <w:r>
        <w:br/>
      </w:r>
    </w:p>
    <w:p>
      <w:pPr>
        <w:pStyle w:val="null3"/>
        <w:jc w:val="center"/>
        <w:outlineLvl w:val="2"/>
      </w:pPr>
      <w:r>
        <w:rPr>
          <w:rFonts w:ascii="仿宋_GB2312" w:hAnsi="仿宋_GB2312" w:cs="仿宋_GB2312" w:eastAsia="仿宋_GB2312"/>
          <w:sz w:val="28"/>
          <w:b/>
        </w:rPr>
        <w:t>西安市长安区魏寨街道办事处</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西安市长安区魏寨街道办事处</w:t>
      </w:r>
      <w:r>
        <w:rPr>
          <w:rFonts w:ascii="仿宋_GB2312" w:hAnsi="仿宋_GB2312" w:cs="仿宋_GB2312" w:eastAsia="仿宋_GB2312"/>
        </w:rPr>
        <w:t>委托，拟对</w:t>
      </w:r>
      <w:r>
        <w:rPr>
          <w:rFonts w:ascii="仿宋_GB2312" w:hAnsi="仿宋_GB2312" w:cs="仿宋_GB2312" w:eastAsia="仿宋_GB2312"/>
        </w:rPr>
        <w:t>长安区魏寨街道耶柿村、彭村实用性村庄规划编制项目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KHXM-ZB-2526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长安区魏寨街道耶柿村、彭村实用性村庄规划编制项目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此次村庄规划编制主要包括按照长安区实用性村庄规工作要求，完成长安区魏寨街道耶柿村、彭村实用性村庄规划工作，最终行成规划成果。具体包括准备工作、实地调研、资料整理、数据分析处理、成果编制（文本、图件、数据库和附件）、评审验收及修改完善成果和提交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采购包1（长安区魏寨街道耶柿村、彭村实用性村庄规划编制项目）：属于专门面向中小企业采购。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1、有效的主体资格证明：具有独立承担民事责任的法人、其他组织或自然人，提供有效的营业执照等相应证明文件，非法人单位参照执行</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3、税收缴纳证明：提供递交投标文件截止之日前一年内任意一个月的纳税证明或完税证明（任意税种），依法免税的单位应提供相关证明材料</w:t>
      </w:r>
    </w:p>
    <w:p>
      <w:pPr>
        <w:pStyle w:val="null3"/>
      </w:pPr>
      <w:r>
        <w:rPr>
          <w:rFonts w:ascii="仿宋_GB2312" w:hAnsi="仿宋_GB2312" w:cs="仿宋_GB2312" w:eastAsia="仿宋_GB2312"/>
        </w:rPr>
        <w:t>4、社保资金缴纳证明：提供递交投标文件截止之日前一年内任意一个月的社会保障资金缴存单据或社保机构开具的社会保险参保缴费情况证明。依法不需要缴纳社会保障资金的投标人应提供相关证明文件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5、具有履行本合同所必需的设备和专业技术能力：提供具有履行本合同所必需的设备和专业技术能力的声明</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7、法定代表人（主要负责人）委托授权书\ 身份证明：投标单位应授权合法的人员参加投标全过程，其中法定代表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8、企业资质：投标人须具备城乡规划乙级及以上资质</w:t>
      </w:r>
    </w:p>
    <w:p>
      <w:pPr>
        <w:pStyle w:val="null3"/>
      </w:pPr>
      <w:r>
        <w:rPr>
          <w:rFonts w:ascii="仿宋_GB2312" w:hAnsi="仿宋_GB2312" w:cs="仿宋_GB2312" w:eastAsia="仿宋_GB2312"/>
        </w:rPr>
        <w:t>9、中小微企业声明函：本项目专门面向中小微企业，提供中小微企业声明函</w:t>
      </w:r>
    </w:p>
    <w:p>
      <w:pPr>
        <w:pStyle w:val="null3"/>
      </w:pPr>
      <w:r>
        <w:rPr>
          <w:rFonts w:ascii="仿宋_GB2312" w:hAnsi="仿宋_GB2312" w:cs="仿宋_GB2312" w:eastAsia="仿宋_GB2312"/>
        </w:rPr>
        <w:t>10、“信用中国”查询结果：投标人不得为“信用中国 ”网站中列入失信被执行人和重大税收违法案件当事人名单的投标人，不得为中国政府采购网政府采购严重违法失信行为记录名单中被财政部门禁止参加政府采购活动的投标人（提供查询结果网页截图并加盖投标人公章）</w:t>
      </w:r>
    </w:p>
    <w:p>
      <w:pPr>
        <w:pStyle w:val="null3"/>
      </w:pPr>
      <w:r>
        <w:rPr>
          <w:rFonts w:ascii="仿宋_GB2312" w:hAnsi="仿宋_GB2312" w:cs="仿宋_GB2312" w:eastAsia="仿宋_GB2312"/>
        </w:rPr>
        <w:t>11、信用记录审查结果：符合《财政部关于在政府采购活动中查询及使用信用记录有关问题的通知》（财库【2016】125 号）文件中信用查询的要求；（此项由采购人与采购代理单位在开标时查询，以现场查询为准）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西安市长安区魏寨街道办事处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西安市长安区魏寨街道西坡甲子一号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李旭东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18821658312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王同鑫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西安市长安区魏寨街道办事处</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西安市长安区魏寨街道办事处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西安市长安区魏寨街道办事处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联系人：王同鑫</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西安市长安区魏寨街道耶柿村、彭村实用性村庄规划编制，具体包括准备工作、实地调研、资料整理、数据分析处理、成果编制（文本、图件、数据库和附件）、修改完善成果、成果上报等工作。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长安区魏寨街道耶柿村、彭村实用性村庄规划编制项目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标的名称：长安区魏寨街道耶柿村、彭村实用性村庄规划编制项目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sz w:val="28"/>
                <w:color w:val="000000"/>
              </w:rPr>
              <w:t>1、村庄规划编制内容及要求</w:t>
            </w:r>
          </w:p>
          <w:p>
            <w:pPr>
              <w:pStyle w:val="null3"/>
              <w:ind w:firstLine="560"/>
            </w:pPr>
            <w:r>
              <w:rPr>
                <w:rFonts w:ascii="仿宋_GB2312" w:hAnsi="仿宋_GB2312" w:cs="仿宋_GB2312" w:eastAsia="仿宋_GB2312"/>
                <w:sz w:val="28"/>
                <w:color w:val="000000"/>
              </w:rPr>
              <w:t>此次村庄规划编制主要包括按照长安区实用性村庄规工作要求，完成长安区魏寨街道耶柿村、彭村实用性村庄规划工作，最终行成规划成果。具体包括准备工作、实地调研、资料整理、数据分析处理、成果编制（文本、图件、数据库和附件）、评审验收及修改完善成果和提交等工作。</w:t>
            </w:r>
          </w:p>
          <w:p>
            <w:pPr>
              <w:pStyle w:val="null3"/>
              <w:ind w:firstLine="562"/>
            </w:pPr>
            <w:r>
              <w:rPr>
                <w:rFonts w:ascii="仿宋_GB2312" w:hAnsi="仿宋_GB2312" w:cs="仿宋_GB2312" w:eastAsia="仿宋_GB2312"/>
                <w:sz w:val="28"/>
                <w:color w:val="000000"/>
              </w:rPr>
              <w:t>2、技术要求</w:t>
            </w:r>
          </w:p>
          <w:p>
            <w:pPr>
              <w:pStyle w:val="null3"/>
              <w:ind w:firstLine="560"/>
            </w:pPr>
            <w:r>
              <w:rPr>
                <w:rFonts w:ascii="仿宋_GB2312" w:hAnsi="仿宋_GB2312" w:cs="仿宋_GB2312" w:eastAsia="仿宋_GB2312"/>
                <w:sz w:val="28"/>
                <w:color w:val="000000"/>
              </w:rPr>
              <w:t>（1）</w:t>
            </w:r>
            <w:r>
              <w:rPr>
                <w:rFonts w:ascii="仿宋_GB2312" w:hAnsi="仿宋_GB2312" w:cs="仿宋_GB2312" w:eastAsia="仿宋_GB2312"/>
                <w:sz w:val="28"/>
                <w:color w:val="000000"/>
              </w:rPr>
              <w:t>《陕西省实用性村庄规划编制技术要点》（陕自然资规发〔2023〕2号）</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（2）</w:t>
            </w:r>
            <w:r>
              <w:rPr>
                <w:rFonts w:ascii="仿宋_GB2312" w:hAnsi="仿宋_GB2312" w:cs="仿宋_GB2312" w:eastAsia="仿宋_GB2312"/>
                <w:sz w:val="28"/>
                <w:color w:val="000000"/>
              </w:rPr>
              <w:t>《西安市实用性村庄规划编制指引及成果规范》</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（3）</w:t>
            </w:r>
            <w:r>
              <w:rPr>
                <w:rFonts w:ascii="仿宋_GB2312" w:hAnsi="仿宋_GB2312" w:cs="仿宋_GB2312" w:eastAsia="仿宋_GB2312"/>
                <w:sz w:val="28"/>
                <w:color w:val="000000"/>
              </w:rPr>
              <w:t>《镇（乡）村给水工程规划规范》（CJJ/T246-2016）</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（4）</w:t>
            </w:r>
            <w:r>
              <w:rPr>
                <w:rFonts w:ascii="仿宋_GB2312" w:hAnsi="仿宋_GB2312" w:cs="仿宋_GB2312" w:eastAsia="仿宋_GB2312"/>
                <w:sz w:val="28"/>
                <w:color w:val="000000"/>
              </w:rPr>
              <w:t>陕西省村庄内部道路建设技术导则（陕建发〔2021〕1121号）</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（5）</w:t>
            </w:r>
            <w:r>
              <w:rPr>
                <w:rFonts w:ascii="仿宋_GB2312" w:hAnsi="仿宋_GB2312" w:cs="仿宋_GB2312" w:eastAsia="仿宋_GB2312"/>
                <w:sz w:val="28"/>
                <w:color w:val="000000"/>
              </w:rPr>
              <w:t>《西安市村庄规划管理技术规定》</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（6）</w:t>
            </w:r>
            <w:r>
              <w:rPr>
                <w:rFonts w:ascii="仿宋_GB2312" w:hAnsi="仿宋_GB2312" w:cs="仿宋_GB2312" w:eastAsia="仿宋_GB2312"/>
                <w:sz w:val="28"/>
                <w:color w:val="000000"/>
              </w:rPr>
              <w:t>土地基本术语</w:t>
            </w:r>
            <w:r>
              <w:rPr>
                <w:rFonts w:ascii="仿宋_GB2312" w:hAnsi="仿宋_GB2312" w:cs="仿宋_GB2312" w:eastAsia="仿宋_GB2312"/>
                <w:sz w:val="28"/>
                <w:color w:val="000000"/>
              </w:rPr>
              <w:t>（</w:t>
            </w:r>
            <w:r>
              <w:rPr>
                <w:rFonts w:ascii="仿宋_GB2312" w:hAnsi="仿宋_GB2312" w:cs="仿宋_GB2312" w:eastAsia="仿宋_GB2312"/>
                <w:sz w:val="28"/>
                <w:color w:val="000000"/>
              </w:rPr>
              <w:t>GB/T 19231</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（7）</w:t>
            </w:r>
            <w:r>
              <w:rPr>
                <w:rFonts w:ascii="仿宋_GB2312" w:hAnsi="仿宋_GB2312" w:cs="仿宋_GB2312" w:eastAsia="仿宋_GB2312"/>
                <w:sz w:val="28"/>
                <w:color w:val="000000"/>
              </w:rPr>
              <w:t>土地利用现状分类</w:t>
            </w:r>
            <w:r>
              <w:rPr>
                <w:rFonts w:ascii="仿宋_GB2312" w:hAnsi="仿宋_GB2312" w:cs="仿宋_GB2312" w:eastAsia="仿宋_GB2312"/>
                <w:sz w:val="28"/>
                <w:color w:val="000000"/>
              </w:rPr>
              <w:t>（</w:t>
            </w:r>
            <w:r>
              <w:rPr>
                <w:rFonts w:ascii="仿宋_GB2312" w:hAnsi="仿宋_GB2312" w:cs="仿宋_GB2312" w:eastAsia="仿宋_GB2312"/>
                <w:sz w:val="28"/>
                <w:color w:val="000000"/>
              </w:rPr>
              <w:t>GB/T 21010-2017</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（8）</w:t>
            </w:r>
            <w:r>
              <w:rPr>
                <w:rFonts w:ascii="仿宋_GB2312" w:hAnsi="仿宋_GB2312" w:cs="仿宋_GB2312" w:eastAsia="仿宋_GB2312"/>
                <w:sz w:val="28"/>
                <w:color w:val="000000"/>
              </w:rPr>
              <w:t>村庄整治技术标准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GB/T50445-2019</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（9）</w:t>
            </w:r>
            <w:r>
              <w:rPr>
                <w:rFonts w:ascii="仿宋_GB2312" w:hAnsi="仿宋_GB2312" w:cs="仿宋_GB2312" w:eastAsia="仿宋_GB2312"/>
                <w:sz w:val="28"/>
                <w:color w:val="000000"/>
              </w:rPr>
              <w:t>乡村道路工程技术规范</w:t>
            </w:r>
            <w:r>
              <w:rPr>
                <w:rFonts w:ascii="仿宋_GB2312" w:hAnsi="仿宋_GB2312" w:cs="仿宋_GB2312" w:eastAsia="仿宋_GB2312"/>
                <w:sz w:val="28"/>
                <w:color w:val="000000"/>
              </w:rPr>
              <w:t>（</w:t>
            </w:r>
            <w:r>
              <w:rPr>
                <w:rFonts w:ascii="仿宋_GB2312" w:hAnsi="仿宋_GB2312" w:cs="仿宋_GB2312" w:eastAsia="仿宋_GB2312"/>
                <w:sz w:val="28"/>
                <w:color w:val="000000"/>
              </w:rPr>
              <w:t>GB/T51224-2017</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（10）</w:t>
            </w:r>
            <w:r>
              <w:rPr>
                <w:rFonts w:ascii="仿宋_GB2312" w:hAnsi="仿宋_GB2312" w:cs="仿宋_GB2312" w:eastAsia="仿宋_GB2312"/>
                <w:sz w:val="28"/>
                <w:color w:val="000000"/>
              </w:rPr>
              <w:t>乡村公共服务设施规划标准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GB/T51224CECS354</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（11）</w:t>
            </w:r>
            <w:r>
              <w:rPr>
                <w:rFonts w:ascii="仿宋_GB2312" w:hAnsi="仿宋_GB2312" w:cs="仿宋_GB2312" w:eastAsia="仿宋_GB2312"/>
                <w:sz w:val="28"/>
                <w:color w:val="000000"/>
              </w:rPr>
              <w:t>社区生活圈规划技术指南</w:t>
            </w:r>
            <w:r>
              <w:rPr>
                <w:rFonts w:ascii="仿宋_GB2312" w:hAnsi="仿宋_GB2312" w:cs="仿宋_GB2312" w:eastAsia="仿宋_GB2312"/>
                <w:sz w:val="28"/>
                <w:color w:val="000000"/>
              </w:rPr>
              <w:t>（</w:t>
            </w:r>
            <w:r>
              <w:rPr>
                <w:rFonts w:ascii="仿宋_GB2312" w:hAnsi="仿宋_GB2312" w:cs="仿宋_GB2312" w:eastAsia="仿宋_GB2312"/>
                <w:sz w:val="28"/>
                <w:color w:val="000000"/>
              </w:rPr>
              <w:t>TD/T1062</w:t>
            </w:r>
            <w:r>
              <w:rPr>
                <w:rFonts w:ascii="仿宋_GB2312" w:hAnsi="仿宋_GB2312" w:cs="仿宋_GB2312" w:eastAsia="仿宋_GB2312"/>
                <w:sz w:val="28"/>
                <w:color w:val="000000"/>
              </w:rPr>
              <w:t>）；</w:t>
            </w:r>
          </w:p>
          <w:p>
            <w:pPr>
              <w:pStyle w:val="null3"/>
              <w:ind w:firstLine="560"/>
            </w:pPr>
            <w:r>
              <w:rPr>
                <w:rFonts w:ascii="仿宋_GB2312" w:hAnsi="仿宋_GB2312" w:cs="仿宋_GB2312" w:eastAsia="仿宋_GB2312"/>
                <w:sz w:val="28"/>
                <w:color w:val="000000"/>
              </w:rPr>
              <w:t>（12）</w:t>
            </w:r>
            <w:r>
              <w:rPr>
                <w:rFonts w:ascii="仿宋_GB2312" w:hAnsi="仿宋_GB2312" w:cs="仿宋_GB2312" w:eastAsia="仿宋_GB2312"/>
                <w:sz w:val="28"/>
                <w:color w:val="000000"/>
              </w:rPr>
              <w:t>《国土空间调查、规划、用途管制用地用海分类指南(试行)》</w:t>
            </w:r>
            <w:r>
              <w:rPr>
                <w:rFonts w:ascii="仿宋_GB2312" w:hAnsi="仿宋_GB2312" w:cs="仿宋_GB2312" w:eastAsia="仿宋_GB2312"/>
                <w:sz w:val="28"/>
                <w:color w:val="000000"/>
              </w:rPr>
              <w:t>。</w:t>
            </w:r>
          </w:p>
          <w:p>
            <w:pPr>
              <w:pStyle w:val="null3"/>
              <w:ind w:firstLine="562"/>
            </w:pPr>
            <w:r>
              <w:rPr>
                <w:rFonts w:ascii="仿宋_GB2312" w:hAnsi="仿宋_GB2312" w:cs="仿宋_GB2312" w:eastAsia="仿宋_GB2312"/>
                <w:sz w:val="28"/>
                <w:color w:val="000000"/>
              </w:rPr>
              <w:t>3、成果要求</w:t>
            </w:r>
          </w:p>
          <w:p>
            <w:pPr>
              <w:pStyle w:val="null3"/>
              <w:ind w:firstLine="560"/>
            </w:pPr>
            <w:r>
              <w:rPr>
                <w:rFonts w:ascii="仿宋_GB2312" w:hAnsi="仿宋_GB2312" w:cs="仿宋_GB2312" w:eastAsia="仿宋_GB2312"/>
                <w:sz w:val="28"/>
                <w:color w:val="000000"/>
              </w:rPr>
              <w:t>规划成果应包括报批版、公示版及村民手册。</w:t>
            </w:r>
          </w:p>
          <w:p>
            <w:pPr>
              <w:pStyle w:val="null3"/>
              <w:ind w:firstLine="560"/>
            </w:pPr>
            <w:r>
              <w:rPr>
                <w:rFonts w:ascii="仿宋_GB2312" w:hAnsi="仿宋_GB2312" w:cs="仿宋_GB2312" w:eastAsia="仿宋_GB2312"/>
                <w:sz w:val="28"/>
                <w:color w:val="000000"/>
              </w:rPr>
              <w:t>（1）报批版成果</w:t>
            </w:r>
          </w:p>
          <w:p>
            <w:pPr>
              <w:pStyle w:val="null3"/>
              <w:ind w:firstLine="560"/>
            </w:pPr>
            <w:r>
              <w:rPr>
                <w:rFonts w:ascii="仿宋_GB2312" w:hAnsi="仿宋_GB2312" w:cs="仿宋_GB2312" w:eastAsia="仿宋_GB2312"/>
                <w:sz w:val="28"/>
                <w:color w:val="000000"/>
              </w:rPr>
              <w:t>报批版成果包括规划文本、图则、图纸、数据库、附件。</w:t>
            </w:r>
          </w:p>
          <w:p>
            <w:pPr>
              <w:pStyle w:val="null3"/>
              <w:ind w:firstLine="560"/>
            </w:pPr>
            <w:r>
              <w:rPr>
                <w:rFonts w:ascii="仿宋_GB2312" w:hAnsi="仿宋_GB2312" w:cs="仿宋_GB2312" w:eastAsia="仿宋_GB2312"/>
                <w:sz w:val="28"/>
                <w:color w:val="000000"/>
              </w:rPr>
              <w:t>规划文本包括总则、上位规划传导、发展定位与目标、国土空间布局及用途管制、耕地和永久基本农田保护规划、农村居民点规划、人居环境整治、国土综合整治与生态保护修复、产业发展规划、道路交通规划、公用设施和公共服务设施规划、历史文化保护规划、村庄风貌提升、安全和防灾规划、近期发展计划等十五个章节的内容。</w:t>
            </w:r>
          </w:p>
          <w:p>
            <w:pPr>
              <w:pStyle w:val="null3"/>
              <w:ind w:firstLine="560"/>
            </w:pPr>
            <w:r>
              <w:rPr>
                <w:rFonts w:ascii="仿宋_GB2312" w:hAnsi="仿宋_GB2312" w:cs="仿宋_GB2312" w:eastAsia="仿宋_GB2312"/>
                <w:sz w:val="28"/>
                <w:color w:val="000000"/>
              </w:rPr>
              <w:t>图则、图纸及数据库成果应符合《陕西省实用性村庄规划编制技术要点》、《西安市实用性村庄规划编制指引及成果规范》中对图件及数据库的要求。</w:t>
            </w:r>
          </w:p>
          <w:p>
            <w:pPr>
              <w:pStyle w:val="null3"/>
              <w:ind w:firstLine="560"/>
            </w:pPr>
            <w:r>
              <w:rPr>
                <w:rFonts w:ascii="仿宋_GB2312" w:hAnsi="仿宋_GB2312" w:cs="仿宋_GB2312" w:eastAsia="仿宋_GB2312"/>
                <w:sz w:val="28"/>
                <w:color w:val="000000"/>
              </w:rPr>
              <w:t>附件包括现状调研报告、村民意见征集材料、会议纪要、部门意见、专家论证意见、村民参与村庄规划的相关记录材料等。</w:t>
            </w:r>
          </w:p>
          <w:p>
            <w:pPr>
              <w:pStyle w:val="null3"/>
              <w:ind w:firstLine="560"/>
            </w:pPr>
            <w:r>
              <w:rPr>
                <w:rFonts w:ascii="仿宋_GB2312" w:hAnsi="仿宋_GB2312" w:cs="仿宋_GB2312" w:eastAsia="仿宋_GB2312"/>
                <w:sz w:val="28"/>
                <w:color w:val="000000"/>
              </w:rPr>
              <w:t>（2）公示版成果</w:t>
            </w:r>
          </w:p>
          <w:p>
            <w:pPr>
              <w:pStyle w:val="null3"/>
              <w:ind w:firstLine="560"/>
            </w:pPr>
            <w:r>
              <w:rPr>
                <w:rFonts w:ascii="仿宋_GB2312" w:hAnsi="仿宋_GB2312" w:cs="仿宋_GB2312" w:eastAsia="仿宋_GB2312"/>
                <w:sz w:val="28"/>
                <w:color w:val="000000"/>
              </w:rPr>
              <w:t>公示版成果包括3图1表1则，其中3图包括村域综合规划图、村庄总平面图、近期建设项目规划图；1表为近期建设项目表；1则是村庄规划管制规则。</w:t>
            </w:r>
          </w:p>
          <w:p>
            <w:pPr>
              <w:pStyle w:val="null3"/>
              <w:ind w:firstLine="560"/>
            </w:pPr>
            <w:r>
              <w:rPr>
                <w:rFonts w:ascii="仿宋_GB2312" w:hAnsi="仿宋_GB2312" w:cs="仿宋_GB2312" w:eastAsia="仿宋_GB2312"/>
                <w:sz w:val="28"/>
                <w:color w:val="000000"/>
              </w:rPr>
              <w:t>（3）村民手册成果</w:t>
            </w:r>
          </w:p>
          <w:p>
            <w:pPr>
              <w:pStyle w:val="null3"/>
              <w:ind w:firstLine="560"/>
            </w:pPr>
            <w:r>
              <w:rPr>
                <w:rFonts w:ascii="仿宋_GB2312" w:hAnsi="仿宋_GB2312" w:cs="仿宋_GB2312" w:eastAsia="仿宋_GB2312"/>
                <w:sz w:val="28"/>
                <w:color w:val="000000"/>
              </w:rPr>
              <w:t>村庄规划村民手册，即村民版规划成果。村民手册主要展示村庄规划核心内容和实施策略，可包括规划用地布局、空间管控要求、建筑风貌控制、居民点规划、农宅及院落选型、环境整治引导、近期建设清单和村庄管制规则等内容，并将村庄建设政策、村规村约、奖罚声明、村民电话簿等内容纳入村民手册。</w:t>
            </w:r>
          </w:p>
          <w:p>
            <w:pPr>
              <w:pStyle w:val="null3"/>
              <w:ind w:firstLine="562"/>
            </w:pPr>
            <w:r>
              <w:rPr>
                <w:rFonts w:ascii="仿宋_GB2312" w:hAnsi="仿宋_GB2312" w:cs="仿宋_GB2312" w:eastAsia="仿宋_GB2312"/>
                <w:sz w:val="28"/>
                <w:color w:val="000000"/>
              </w:rPr>
              <w:t>以上村庄规划编制成果要求按照《陕西省实用性村庄规划编制技术要点》、《西安市实用性村庄规划编制指引及成果规范》等相关标准规范提供。</w:t>
            </w:r>
          </w:p>
          <w:p>
            <w:pPr>
              <w:pStyle w:val="null3"/>
              <w:ind w:firstLine="562"/>
            </w:pPr>
            <w:r>
              <w:rPr>
                <w:rFonts w:ascii="仿宋_GB2312" w:hAnsi="仿宋_GB2312" w:cs="仿宋_GB2312" w:eastAsia="仿宋_GB2312"/>
                <w:sz w:val="28"/>
                <w:color w:val="000000"/>
              </w:rPr>
              <w:t>4、服务要求（如对人员配置、专业设备、服务标准等）</w:t>
            </w:r>
          </w:p>
          <w:p>
            <w:pPr>
              <w:pStyle w:val="null3"/>
              <w:ind w:firstLine="560"/>
            </w:pPr>
            <w:r>
              <w:rPr>
                <w:rFonts w:ascii="仿宋_GB2312" w:hAnsi="仿宋_GB2312" w:cs="仿宋_GB2312" w:eastAsia="仿宋_GB2312"/>
                <w:sz w:val="28"/>
              </w:rPr>
              <w:t>（1）供应商须组织专业团队按照实用性村庄规划编制程序组织编制</w:t>
            </w:r>
            <w:r>
              <w:rPr>
                <w:rFonts w:ascii="仿宋_GB2312" w:hAnsi="仿宋_GB2312" w:cs="仿宋_GB2312" w:eastAsia="仿宋_GB2312"/>
                <w:sz w:val="28"/>
                <w:color w:val="000000"/>
              </w:rPr>
              <w:t>长安区魏寨街道耶柿村、彭村实用性村庄规划成果。</w:t>
            </w:r>
          </w:p>
          <w:p>
            <w:pPr>
              <w:pStyle w:val="null3"/>
              <w:ind w:firstLine="560"/>
            </w:pPr>
            <w:r>
              <w:rPr>
                <w:rFonts w:ascii="仿宋_GB2312" w:hAnsi="仿宋_GB2312" w:cs="仿宋_GB2312" w:eastAsia="仿宋_GB2312"/>
                <w:sz w:val="28"/>
              </w:rPr>
              <w:t>（2）供应商须在合同签订后进行全方位的服务工作，同时做好在服务过程中与采购人及相关政府职能部门的配合协调工作。</w:t>
            </w:r>
          </w:p>
          <w:p>
            <w:pPr>
              <w:pStyle w:val="null3"/>
              <w:ind w:firstLine="560"/>
            </w:pPr>
            <w:r>
              <w:rPr>
                <w:rFonts w:ascii="仿宋_GB2312" w:hAnsi="仿宋_GB2312" w:cs="仿宋_GB2312" w:eastAsia="仿宋_GB2312"/>
                <w:sz w:val="28"/>
              </w:rPr>
              <w:t>（3）供应商须按照采购人整体项目时间进度要求，保质保量完成受托的全部服务工作内容。如在材料上报审查过程中相关部门提出修改意见，应及时完善并进行修改后提交审核。</w:t>
            </w:r>
          </w:p>
          <w:p>
            <w:pPr>
              <w:pStyle w:val="null3"/>
              <w:ind w:firstLine="560"/>
            </w:pPr>
            <w:r>
              <w:rPr>
                <w:rFonts w:ascii="仿宋_GB2312" w:hAnsi="仿宋_GB2312" w:cs="仿宋_GB2312" w:eastAsia="仿宋_GB2312"/>
                <w:sz w:val="28"/>
              </w:rPr>
              <w:t>（4）供应商须综合考虑政策变动、审核因素等不确定的风险因素，采购人不因任何原因增加任何费用。</w:t>
            </w:r>
          </w:p>
          <w:p>
            <w:pPr>
              <w:pStyle w:val="null3"/>
              <w:ind w:firstLine="560"/>
            </w:pPr>
            <w:r>
              <w:rPr>
                <w:rFonts w:ascii="仿宋_GB2312" w:hAnsi="仿宋_GB2312" w:cs="仿宋_GB2312" w:eastAsia="仿宋_GB2312"/>
                <w:sz w:val="28"/>
              </w:rPr>
              <w:t>（5）供应商在报价中应综合考虑所有因素，包括但不限于报告编制、调研、评审、专家费、直接费用、间接费用、税金、利润、人员工资、风险费用、后续服务费用、手续办理、配合政府等相关职能部等全部费用。</w:t>
            </w:r>
          </w:p>
          <w:p>
            <w:pPr>
              <w:pStyle w:val="null3"/>
              <w:ind w:firstLine="562"/>
            </w:pPr>
            <w:r>
              <w:rPr>
                <w:rFonts w:ascii="仿宋_GB2312" w:hAnsi="仿宋_GB2312" w:cs="仿宋_GB2312" w:eastAsia="仿宋_GB2312"/>
                <w:sz w:val="28"/>
                <w:color w:val="000000"/>
              </w:rPr>
              <w:t>5、商务要求</w:t>
            </w:r>
          </w:p>
          <w:p>
            <w:pPr>
              <w:pStyle w:val="null3"/>
              <w:ind w:firstLine="560"/>
            </w:pPr>
            <w:r>
              <w:rPr>
                <w:rFonts w:ascii="仿宋_GB2312" w:hAnsi="仿宋_GB2312" w:cs="仿宋_GB2312" w:eastAsia="仿宋_GB2312"/>
                <w:sz w:val="28"/>
                <w:color w:val="000000"/>
              </w:rPr>
              <w:t>（1）服务期：合同签订后3个月内完成</w:t>
            </w:r>
          </w:p>
          <w:p>
            <w:pPr>
              <w:pStyle w:val="null3"/>
              <w:ind w:firstLine="560"/>
            </w:pPr>
            <w:r>
              <w:rPr>
                <w:rFonts w:ascii="仿宋_GB2312" w:hAnsi="仿宋_GB2312" w:cs="仿宋_GB2312" w:eastAsia="仿宋_GB2312"/>
                <w:sz w:val="28"/>
                <w:color w:val="000000"/>
              </w:rPr>
              <w:t>（2）服务地点：采购人指定地点</w:t>
            </w:r>
          </w:p>
          <w:p>
            <w:pPr>
              <w:pStyle w:val="null3"/>
              <w:ind w:firstLine="560"/>
            </w:pPr>
            <w:r>
              <w:rPr>
                <w:rFonts w:ascii="仿宋_GB2312" w:hAnsi="仿宋_GB2312" w:cs="仿宋_GB2312" w:eastAsia="仿宋_GB2312"/>
                <w:sz w:val="28"/>
                <w:color w:val="000000"/>
              </w:rPr>
              <w:t>（3）付款比例及方式：签订采购合同时双方自行约定。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合同签订日起至2025年12月31日前成果编制完成。（如遇上级政策变化等特殊情况，服务期相应延长）。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本合同签订后7日内日，甲方向乙方支付合同总价款的40%，作为预付款；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乙方提交初步成果，并通过甲方组织的专家评审后7日内，甲方向乙方支付合同总价款的50%，作为项目进度款；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乙方提交最终成果后7日内，甲方向乙方支付剩余全部合同价款。甲方付款前，乙方提供增值税发票。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一、甲方违约责任 （一）因甲方原因终止本合同的，乙方有权终止项目服务。甲方应按照已开展项目的进度及工作量向乙方支付合同价款。 （二）甲方未按本合同约定时间支付合同价款的，甲方应按顺延天数和同期银行LPR利率向乙方支付违约金。 （三）若甲方提供虚假资料、文件（甲方提供的技术图纸、技术说明等），乙方有权解除本合同，甲方应按照已开展项目的进度及工作量向乙方支付合同价款。甲方对其提供的虚假资料，承担相应的责任。 二、乙方违约责任 （一）乙方未能按合同约定的日期交付项目成果时，应向甲方偿付拖期损失费，每天的拖期损失费按本合同最终结算合同总价款的万分之五计算。 （二）乙方提供的项目成果质量不合格，乙方应负责无偿予以采取补救措施，以达到质量要求。因项目成果质量不符合合同约定的要求（非甲方提供的图纸资料原因所致）造成后果时，乙方应对因此造成的直接损失负赔偿责任，并承担相应的法律责任（由于甲方提供的图纸资料原因产生的责任由甲方负责）。 （三）对于甲方提供的图纸和技术资料以及属于甲方的成果，乙方不得向第三方转让，否则甲方有权对因此造成的直接损失追究责任。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具有独立承担民事责任的法人、其他组织或自然人，提供有效的营业执照等相应证明文件，非法人单位参照执行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 身份证明</w:t>
            </w:r>
          </w:p>
        </w:tc>
        <w:tc>
          <w:tcPr>
            <w:tcW w:type="dxa" w:w="3322"/>
          </w:tcPr>
          <w:p>
            <w:pPr>
              <w:pStyle w:val="null3"/>
            </w:pPr>
            <w:r>
              <w:rPr>
                <w:rFonts w:ascii="仿宋_GB2312" w:hAnsi="仿宋_GB2312" w:cs="仿宋_GB2312" w:eastAsia="仿宋_GB2312"/>
              </w:rPr>
              <w:t>投标单位应授权合法的人员参加投标全过程，其中法定代表人直接参加投标的，须出具法人身份证，并与营业执照上信息一致。法定代表人授权代表参加投标的，须出具法定代表人授权书及授权代表身份证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投标人须具备城乡规划乙级及以上资质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中小微企业声明函</w:t>
            </w:r>
          </w:p>
        </w:tc>
        <w:tc>
          <w:tcPr>
            <w:tcW w:type="dxa" w:w="3322"/>
          </w:tcPr>
          <w:p>
            <w:pPr>
              <w:pStyle w:val="null3"/>
            </w:pPr>
            <w:r>
              <w:rPr>
                <w:rFonts w:ascii="仿宋_GB2312" w:hAnsi="仿宋_GB2312" w:cs="仿宋_GB2312" w:eastAsia="仿宋_GB2312"/>
              </w:rPr>
              <w:t>本项目专门面向中小微企业，提供中小微企业声明函</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“信用中国”查询结果</w:t>
            </w:r>
          </w:p>
        </w:tc>
        <w:tc>
          <w:tcPr>
            <w:tcW w:type="dxa" w:w="3322"/>
          </w:tcPr>
          <w:p>
            <w:pPr>
              <w:pStyle w:val="null3"/>
            </w:pPr>
            <w:r>
              <w:rPr>
                <w:rFonts w:ascii="仿宋_GB2312" w:hAnsi="仿宋_GB2312" w:cs="仿宋_GB2312" w:eastAsia="仿宋_GB2312"/>
              </w:rPr>
              <w:t>投标人不得为“信用中国 ”网站中列入失信被执行人和重大税收违法案件当事人名单的投标人，不得为中国政府采购网政府采购严重违法失信行为记录名单中被财政部门禁止参加政府采购活动的投标人（提供查询结果网页截图并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 号）文件中信用查询的要求；（此项由采购人与采购代理单位在开标时查询，以现场查询为准）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无缺项漏项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（3）未超出采购预算或最高限价 （4）符合《开标一览表》的填报要求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对本项目的理解程度</w:t>
            </w:r>
          </w:p>
        </w:tc>
        <w:tc>
          <w:tcPr>
            <w:tcW w:type="dxa" w:w="2492"/>
          </w:tcPr>
          <w:p>
            <w:pPr>
              <w:pStyle w:val="null3"/>
            </w:pPr>
            <w:r>
              <w:rPr>
                <w:rFonts w:ascii="仿宋_GB2312" w:hAnsi="仿宋_GB2312" w:cs="仿宋_GB2312" w:eastAsia="仿宋_GB2312"/>
              </w:rPr>
              <w:t>1、投标人针对本项目现状的理解程度，根据内容有效性、完整性综合比较优得3-5分，一般得0-2分。未提供不得分。 2、针对本项目发展目标的分析，根据内容有效性、完整性，综合比较优得3-5分，一般得0-2分。未提供不得分。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1、规划思路清晰、准确，满足项目要求。按其响应程度计0-10分。 2、提供的编制大纲全面，符合实际需求，按其响应程度计0-10分。 3、总体规划方案内容全面完整、科学可行，满足国家规范及磋商文件要求，按其响应程度计0-10分。 4、对于编制的内容、重点及难点具有清晰准确的认识，按其响应程度计 0-10分。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1、项目团队置合理，有明确的人员分工，按其响应程度计0-5分。 2、项目团队具有丰富的相关领域工作经验，按其响应程度计0-5分。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质量控制有总目标，质量保障体系措施完善具有可行性、对各阶段的质量进行了准确的目标分解、对质量控制各分解目标有明确的控制点且合理，得0-5分；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根据项目任务和时限要求，提供了详细可行、科学合理的项目实施计划和方案，实施计划和方案中对项目工作进度进行了工作分解并对分解的工作明确了时间控制点，根据响应程度，得0-5分。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提供完善的数据安全保密措施，根据响应程度，得0-5分。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供应商针对本项目制定售后服务方案，不限于服务计划、服务承诺等，根据售后服务方案详细程度，合理性，完善性，根据响应程度，得0-5分。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投标人近三年内具有类似项目业绩，业绩以合同或中标(成交通知书）为依据，响应文件中附有其证明资料，每提供一个业绩证明计 2 分，满分10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1.经初审合格的投标文件，其报价为有效报价。对符合政策性扣减的有效报价进行政策性扣减，并依据扣减后的价格(评审价格) 进行价格评审。 2.满足磋商文件要求且价格最低的报价为评标基准价。 3.按(评标基准价/有效投标报价)×10×100%的公式计算其得分。 4.报价不完整的，不进入评标基准价的计算，本项得0分。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详见附件：合同模板-魏寨街道耶柿村、彭村实用性村庄规划编制项目(1).docx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