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版本号：ZXCG2025-02220251114001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长安区花卉新品种新技术试验示范及装备提升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ZXCG2025-022</w:t>
      </w:r>
      <w:r>
        <w:br/>
      </w:r>
      <w:r>
        <w:br/>
      </w:r>
      <w:r>
        <w:br/>
      </w:r>
    </w:p>
    <w:p>
      <w:pPr>
        <w:pStyle w:val="null3"/>
        <w:jc w:val="center"/>
        <w:outlineLvl w:val="2"/>
      </w:pPr>
      <w:r>
        <w:rPr>
          <w:rFonts w:ascii="仿宋_GB2312" w:hAnsi="仿宋_GB2312" w:cs="仿宋_GB2312" w:eastAsia="仿宋_GB2312"/>
          <w:sz w:val="28"/>
          <w:b/>
        </w:rPr>
        <w:t>西安市长安区农业技术推广中心</w:t>
      </w:r>
    </w:p>
    <w:p>
      <w:pPr>
        <w:pStyle w:val="null3"/>
        <w:jc w:val="center"/>
        <w:outlineLvl w:val="2"/>
      </w:pPr>
      <w:r>
        <w:rPr>
          <w:rFonts w:ascii="仿宋_GB2312" w:hAnsi="仿宋_GB2312" w:cs="仿宋_GB2312" w:eastAsia="仿宋_GB2312"/>
          <w:sz w:val="28"/>
          <w:b/>
        </w:rPr>
        <w:t>陕西中贤项目管理有限公司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陕西中贤项目管理有限公司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西安市长安区农业技术推广中心</w:t>
      </w:r>
      <w:r>
        <w:rPr>
          <w:rFonts w:ascii="仿宋_GB2312" w:hAnsi="仿宋_GB2312" w:cs="仿宋_GB2312" w:eastAsia="仿宋_GB2312"/>
        </w:rPr>
        <w:t>委托，拟对</w:t>
      </w:r>
      <w:r>
        <w:rPr>
          <w:rFonts w:ascii="仿宋_GB2312" w:hAnsi="仿宋_GB2312" w:cs="仿宋_GB2312" w:eastAsia="仿宋_GB2312"/>
        </w:rPr>
        <w:t>长安区花卉新品种新技术试验示范及装备提升</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ZXCG2025-022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长安区花卉新品种新技术试验示范及装备提升</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旨在充分利用我区在花卉生产、种质资源收集方面的优势，以及近年来大量引进新型花卉品种进行生产技术推广示范的基础，选择适宜我区发展的花卉新品种、栽培新技术进行试验、示范与推广，加快形成具有长安特色的花卉产业结构，实现我区花卉产业高质量发展并带动全市的花卉产业结构升级，缩小与周边省份在花卉产业发展方面的差距；构建以优质盆花生产为基础，以新型鲜切花、鲜切枝、鲜切叶为突破口的花卉生产新格局，促进我区花卉产业提档升级及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采购包1（长安区花卉新品种新技术试验示范及装备提升）：属于专门面向中小企业采购。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证明书）：法定代表人直接参加谈判只须提供法定代表人身份证明书（附法定代表人身份证复印件），法定代表人授权代表参加的须出具法定代表人授权委托书（附法定代表人身份证复印件及被授权人身份证复印件）及被授权人本单位的社保证明(谈判截止日前一年内已缴存的任意一个月的社会保障资金凭证)。</w:t>
      </w:r>
    </w:p>
    <w:p>
      <w:pPr>
        <w:pStyle w:val="null3"/>
      </w:pPr>
      <w:r>
        <w:rPr>
          <w:rFonts w:ascii="仿宋_GB2312" w:hAnsi="仿宋_GB2312" w:cs="仿宋_GB2312" w:eastAsia="仿宋_GB2312"/>
        </w:rPr>
        <w:t>2、信用查询：符合《财政部关于在政府采购活动中查询及使用信用记录有关问题的通知》（财库【2016】125号）文件中信用查询的要求。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西安市长安区南长安街201A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029-85622271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陕西中贤项目管理有限公司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陕西省西安市未央区凤城二路9号经发大厦A座11层1103-1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徐文雅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18702934670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采购包1：662,400.00元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收取。户名：陕西中贤项目管理有限公司 开户行：中国银行股份有限公司陕西省分行 账号：102 068 446 330。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西安市长安区农业技术推广中心</w:t>
      </w:r>
      <w:r>
        <w:rPr>
          <w:rFonts w:ascii="仿宋_GB2312" w:hAnsi="仿宋_GB2312" w:cs="仿宋_GB2312" w:eastAsia="仿宋_GB2312"/>
        </w:rPr>
        <w:t>和</w:t>
      </w:r>
      <w:r>
        <w:rPr>
          <w:rFonts w:ascii="仿宋_GB2312" w:hAnsi="仿宋_GB2312" w:cs="仿宋_GB2312" w:eastAsia="仿宋_GB2312"/>
        </w:rPr>
        <w:t>陕西中贤项目管理有限公司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西安市长安区农业技术推广中心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陕西中贤项目管理有限公司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陕西中贤项目管理有限公司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1.货物验收过程中，采购人对货物进行验收，由于质量、规格不合格或运输等原因所造成的一切费用均由供应商负责。 2.供应商提供货物应满足本采购文件采购需求中的采购清单规格要求，有关国家、行业标准和规范及双方签定的技术协议和合同的规定一起作为货物验收标准。 3.供应商在供货前须书面通知采购人，如供应商所供的货物达不到投标时承诺的要求，采购人可以拒收供应商的货物。 4.供应商将货物交付采购人使用前，须由采购人会同有关专业人员对货物按相关规范要求进行验收。 5.供应商所交的货物品种、型号、规格、技术参数、质量不符合合同规定及采购文件规定标准的，采购人有权拒收该货物，供应商愿意更换货物但逾期交货的，按供应商逾期交货处理。供应商拒绝更换货物的，采购人可单方面解除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陕西中贤项目管理有限公司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陕西中贤项目管理有限公司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陕西中贤项目管理有限公司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联系人：徐文雅</w:t>
      </w:r>
    </w:p>
    <w:p>
      <w:pPr>
        <w:pStyle w:val="null3"/>
      </w:pPr>
      <w:r>
        <w:rPr>
          <w:rFonts w:ascii="仿宋_GB2312" w:hAnsi="仿宋_GB2312" w:cs="仿宋_GB2312" w:eastAsia="仿宋_GB2312"/>
        </w:rPr>
        <w:t>联系电话：18702934670</w:t>
      </w:r>
    </w:p>
    <w:p>
      <w:pPr>
        <w:pStyle w:val="null3"/>
      </w:pPr>
      <w:r>
        <w:rPr>
          <w:rFonts w:ascii="仿宋_GB2312" w:hAnsi="仿宋_GB2312" w:cs="仿宋_GB2312" w:eastAsia="仿宋_GB2312"/>
        </w:rPr>
        <w:t>地址：陕西省西安市未央区凤城二路9号经发大厦A座11层1103-1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充分利用我区在花卉生产、种质资源收集方面的优势，以及近年来大量引进新型花卉品种进行生产技术推广示范的基础，选择适宜我区发展的花卉新品种、栽培新技术进行试验、示范与推广，加快形成具有长安特色的花卉产业结构，实现我区花卉产业高质量发展并带动全市的花卉产业结构升级，缩小与周边省份在花卉产业发展方面的差距；构建以优质盆花生产为基础，以新型鲜切花、鲜切枝、鲜切叶为突破口的花卉生产新格局，促进我区花卉产业提档升级及高质量发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662,400.00</w:t>
      </w:r>
    </w:p>
    <w:p>
      <w:pPr>
        <w:pStyle w:val="null3"/>
      </w:pPr>
      <w:r>
        <w:rPr>
          <w:rFonts w:ascii="仿宋_GB2312" w:hAnsi="仿宋_GB2312" w:cs="仿宋_GB2312" w:eastAsia="仿宋_GB2312"/>
        </w:rPr>
        <w:t>采购包最高限价（元）: 662,400.00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花卉新品种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662,400.00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标的名称：花卉新品种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2"/>
                <w:b/>
                <w:color w:val="000000"/>
                <w:shd w:fill="FFFFFF" w:val="clear"/>
              </w:rPr>
              <w:t>一、</w:t>
            </w:r>
            <w:r>
              <w:rPr>
                <w:rFonts w:ascii="仿宋_GB2312" w:hAnsi="仿宋_GB2312" w:cs="仿宋_GB2312" w:eastAsia="仿宋_GB2312"/>
                <w:sz w:val="22"/>
                <w:b/>
                <w:color w:val="000000"/>
                <w:shd w:fill="FFFFFF" w:val="clear"/>
              </w:rPr>
              <w:t>采购内容</w:t>
            </w:r>
            <w:r>
              <w:rPr>
                <w:rFonts w:ascii="仿宋_GB2312" w:hAnsi="仿宋_GB2312" w:cs="仿宋_GB2312" w:eastAsia="仿宋_GB2312"/>
                <w:sz w:val="22"/>
                <w:color w:val="000000"/>
                <w:shd w:fill="FFFFFF" w:val="clear"/>
              </w:rPr>
              <w:t>：</w:t>
            </w:r>
          </w:p>
          <w:p>
            <w:pPr>
              <w:pStyle w:val="null3"/>
            </w:pPr>
            <w:r>
              <w:rPr>
                <w:rFonts w:ascii="仿宋_GB2312" w:hAnsi="仿宋_GB2312" w:cs="仿宋_GB2312" w:eastAsia="仿宋_GB2312"/>
              </w:rPr>
              <w:t>引进萱草、络新妇、假龙头、超级凤仙及向日葵等花卉新品种</w:t>
            </w:r>
            <w:r>
              <w:rPr>
                <w:rFonts w:ascii="仿宋_GB2312" w:hAnsi="仿宋_GB2312" w:cs="仿宋_GB2312" w:eastAsia="仿宋_GB2312"/>
              </w:rPr>
              <w:t>5个，其中</w:t>
            </w:r>
          </w:p>
          <w:p>
            <w:pPr>
              <w:pStyle w:val="null3"/>
            </w:pPr>
            <w:r>
              <w:rPr>
                <w:rFonts w:ascii="仿宋_GB2312" w:hAnsi="仿宋_GB2312" w:cs="仿宋_GB2312" w:eastAsia="仿宋_GB2312"/>
              </w:rPr>
              <w:t>萱草：</w:t>
            </w:r>
            <w:r>
              <w:rPr>
                <w:rFonts w:ascii="仿宋_GB2312" w:hAnsi="仿宋_GB2312" w:cs="仿宋_GB2312" w:eastAsia="仿宋_GB2312"/>
              </w:rPr>
              <w:t>5万株，规格：裸根苗；</w:t>
            </w:r>
          </w:p>
          <w:p>
            <w:pPr>
              <w:pStyle w:val="null3"/>
            </w:pPr>
            <w:r>
              <w:rPr>
                <w:rFonts w:ascii="仿宋_GB2312" w:hAnsi="仿宋_GB2312" w:cs="仿宋_GB2312" w:eastAsia="仿宋_GB2312"/>
              </w:rPr>
              <w:t>络新妇：</w:t>
            </w:r>
            <w:r>
              <w:rPr>
                <w:rFonts w:ascii="仿宋_GB2312" w:hAnsi="仿宋_GB2312" w:cs="仿宋_GB2312" w:eastAsia="仿宋_GB2312"/>
              </w:rPr>
              <w:t>3万株，规格：裸根苗；</w:t>
            </w:r>
          </w:p>
          <w:p>
            <w:pPr>
              <w:pStyle w:val="null3"/>
            </w:pPr>
            <w:r>
              <w:rPr>
                <w:rFonts w:ascii="仿宋_GB2312" w:hAnsi="仿宋_GB2312" w:cs="仿宋_GB2312" w:eastAsia="仿宋_GB2312"/>
              </w:rPr>
              <w:t>假龙头：</w:t>
            </w:r>
            <w:r>
              <w:rPr>
                <w:rFonts w:ascii="仿宋_GB2312" w:hAnsi="仿宋_GB2312" w:cs="仿宋_GB2312" w:eastAsia="仿宋_GB2312"/>
              </w:rPr>
              <w:t>8万株，规格：裸根苗；</w:t>
            </w:r>
          </w:p>
          <w:p>
            <w:pPr>
              <w:pStyle w:val="null3"/>
            </w:pPr>
            <w:r>
              <w:rPr>
                <w:rFonts w:ascii="仿宋_GB2312" w:hAnsi="仿宋_GB2312" w:cs="仿宋_GB2312" w:eastAsia="仿宋_GB2312"/>
              </w:rPr>
              <w:t>向</w:t>
            </w:r>
            <w:r>
              <w:rPr>
                <w:rFonts w:ascii="仿宋_GB2312" w:hAnsi="仿宋_GB2312" w:cs="仿宋_GB2312" w:eastAsia="仿宋_GB2312"/>
              </w:rPr>
              <w:t>日葵：</w:t>
            </w:r>
            <w:r>
              <w:rPr>
                <w:rFonts w:ascii="仿宋_GB2312" w:hAnsi="仿宋_GB2312" w:cs="仿宋_GB2312" w:eastAsia="仿宋_GB2312"/>
              </w:rPr>
              <w:t>30.08万株，规格：穴盘苗；</w:t>
            </w:r>
          </w:p>
          <w:p>
            <w:pPr>
              <w:pStyle w:val="null3"/>
            </w:pPr>
            <w:r>
              <w:rPr>
                <w:rFonts w:ascii="仿宋_GB2312" w:hAnsi="仿宋_GB2312" w:cs="仿宋_GB2312" w:eastAsia="仿宋_GB2312"/>
              </w:rPr>
              <w:t>超级凤仙：</w:t>
            </w:r>
            <w:r>
              <w:rPr>
                <w:rFonts w:ascii="仿宋_GB2312" w:hAnsi="仿宋_GB2312" w:cs="仿宋_GB2312" w:eastAsia="仿宋_GB2312"/>
              </w:rPr>
              <w:t>2万株，规格：穴盘苗。</w:t>
            </w:r>
          </w:p>
          <w:p>
            <w:pPr>
              <w:pStyle w:val="null3"/>
            </w:pPr>
            <w:r>
              <w:rPr>
                <w:rFonts w:ascii="仿宋_GB2312" w:hAnsi="仿宋_GB2312" w:cs="仿宋_GB2312" w:eastAsia="仿宋_GB2312"/>
              </w:rPr>
              <w:t>注：本项目核心产品为：</w:t>
            </w:r>
            <w:r>
              <w:rPr>
                <w:rFonts w:ascii="仿宋_GB2312" w:hAnsi="仿宋_GB2312" w:cs="仿宋_GB2312" w:eastAsia="仿宋_GB2312"/>
              </w:rPr>
              <w:t>向日葵</w:t>
            </w:r>
          </w:p>
          <w:p>
            <w:pPr>
              <w:pStyle w:val="null3"/>
              <w:jc w:val="both"/>
            </w:pPr>
            <w:r>
              <w:rPr>
                <w:rFonts w:ascii="仿宋_GB2312" w:hAnsi="仿宋_GB2312" w:cs="仿宋_GB2312" w:eastAsia="仿宋_GB2312"/>
                <w:sz w:val="22"/>
                <w:b/>
                <w:color w:val="000000"/>
                <w:shd w:fill="FFFFFF" w:val="clear"/>
              </w:rPr>
              <w:t>二、</w:t>
            </w:r>
            <w:r>
              <w:rPr>
                <w:rFonts w:ascii="仿宋_GB2312" w:hAnsi="仿宋_GB2312" w:cs="仿宋_GB2312" w:eastAsia="仿宋_GB2312"/>
                <w:sz w:val="22"/>
                <w:b/>
                <w:color w:val="000000"/>
                <w:shd w:fill="FFFFFF" w:val="clear"/>
              </w:rPr>
              <w:t>技术要求</w:t>
            </w:r>
          </w:p>
          <w:p>
            <w:pPr>
              <w:pStyle w:val="null3"/>
              <w:jc w:val="both"/>
            </w:pPr>
            <w:r>
              <w:rPr>
                <w:rFonts w:ascii="仿宋_GB2312" w:hAnsi="仿宋_GB2312" w:cs="仿宋_GB2312" w:eastAsia="仿宋_GB2312"/>
                <w:sz w:val="22"/>
                <w:color w:val="000000"/>
                <w:shd w:fill="FFFFFF" w:val="clear"/>
              </w:rPr>
              <w:t>1、萱草：切花型，4个花色（红色、黄色、紫色、橙色），5万株，规格：裸根苗；</w:t>
            </w:r>
          </w:p>
          <w:p>
            <w:pPr>
              <w:pStyle w:val="null3"/>
              <w:jc w:val="both"/>
            </w:pPr>
            <w:r>
              <w:rPr>
                <w:rFonts w:ascii="仿宋_GB2312" w:hAnsi="仿宋_GB2312" w:cs="仿宋_GB2312" w:eastAsia="仿宋_GB2312"/>
                <w:sz w:val="22"/>
                <w:color w:val="000000"/>
                <w:shd w:fill="FFFFFF" w:val="clear"/>
              </w:rPr>
              <w:t>2、络新妇：切花型，2个花色（粉色、紫色），3万株，规格：裸根苗；</w:t>
            </w:r>
          </w:p>
          <w:p>
            <w:pPr>
              <w:pStyle w:val="null3"/>
              <w:jc w:val="both"/>
            </w:pPr>
            <w:r>
              <w:rPr>
                <w:rFonts w:ascii="仿宋_GB2312" w:hAnsi="仿宋_GB2312" w:cs="仿宋_GB2312" w:eastAsia="仿宋_GB2312"/>
                <w:sz w:val="22"/>
                <w:color w:val="000000"/>
                <w:shd w:fill="FFFFFF" w:val="clear"/>
              </w:rPr>
              <w:t>3、假龙头：切花型，1个花色（玫红色），8万株，规格：裸根苗；</w:t>
            </w:r>
          </w:p>
          <w:p>
            <w:pPr>
              <w:pStyle w:val="null3"/>
              <w:jc w:val="both"/>
            </w:pPr>
            <w:r>
              <w:rPr>
                <w:rFonts w:ascii="仿宋_GB2312" w:hAnsi="仿宋_GB2312" w:cs="仿宋_GB2312" w:eastAsia="仿宋_GB2312"/>
                <w:sz w:val="22"/>
                <w:color w:val="000000"/>
                <w:shd w:fill="FFFFFF" w:val="clear"/>
              </w:rPr>
              <w:t>4、向日葵：切花型，2个花色（橙色、黄色），30.08万株，规格：穴盘苗；</w:t>
            </w:r>
          </w:p>
          <w:p>
            <w:pPr>
              <w:pStyle w:val="null3"/>
              <w:jc w:val="both"/>
            </w:pPr>
            <w:r>
              <w:rPr>
                <w:rFonts w:ascii="仿宋_GB2312" w:hAnsi="仿宋_GB2312" w:cs="仿宋_GB2312" w:eastAsia="仿宋_GB2312"/>
                <w:sz w:val="22"/>
                <w:color w:val="000000"/>
                <w:shd w:fill="FFFFFF" w:val="clear"/>
              </w:rPr>
              <w:t>5、超级凤仙：盆栽型，4个花色（大红、玫红、粉色、淡紫色 ），2万株，规格：穴盘苗。</w:t>
            </w:r>
          </w:p>
          <w:p>
            <w:pPr>
              <w:pStyle w:val="null3"/>
              <w:jc w:val="both"/>
            </w:pPr>
            <w:r>
              <w:rPr>
                <w:rFonts w:ascii="仿宋_GB2312" w:hAnsi="仿宋_GB2312" w:cs="仿宋_GB2312" w:eastAsia="仿宋_GB2312"/>
                <w:sz w:val="22"/>
                <w:color w:val="000000"/>
                <w:shd w:fill="FFFFFF" w:val="clear"/>
              </w:rPr>
              <w:t>6、品种纯度≥99.8%。</w:t>
            </w:r>
          </w:p>
          <w:p>
            <w:pPr>
              <w:pStyle w:val="null3"/>
              <w:jc w:val="both"/>
            </w:pPr>
            <w:r>
              <w:rPr>
                <w:rFonts w:ascii="仿宋_GB2312" w:hAnsi="仿宋_GB2312" w:cs="仿宋_GB2312" w:eastAsia="仿宋_GB2312"/>
                <w:sz w:val="22"/>
                <w:color w:val="000000"/>
                <w:shd w:fill="FFFFFF" w:val="clear"/>
              </w:rPr>
              <w:t>7、品种标识：每批裸根苗用防水编织袋包装，袋外粘贴标签，标注品种名称、花色、数量、挖苗日期、产地，标签需牢固且信息清晰可辨。</w:t>
            </w:r>
          </w:p>
          <w:p>
            <w:pPr>
              <w:pStyle w:val="null3"/>
              <w:jc w:val="both"/>
            </w:pPr>
            <w:r>
              <w:rPr>
                <w:rFonts w:ascii="仿宋_GB2312" w:hAnsi="仿宋_GB2312" w:cs="仿宋_GB2312" w:eastAsia="仿宋_GB2312"/>
                <w:sz w:val="22"/>
                <w:color w:val="000000"/>
                <w:shd w:fill="FFFFFF" w:val="clear"/>
              </w:rPr>
              <w:t>8、</w:t>
            </w:r>
            <w:r>
              <w:rPr>
                <w:rFonts w:ascii="仿宋_GB2312" w:hAnsi="仿宋_GB2312" w:cs="仿宋_GB2312" w:eastAsia="仿宋_GB2312"/>
                <w:sz w:val="22"/>
                <w:color w:val="000000"/>
                <w:shd w:fill="FFFFFF" w:val="clear"/>
              </w:rPr>
              <w:t>无肉眼可见病虫害，根系、根茎无虫蛀孔洞，无病菌感染症状</w:t>
            </w:r>
            <w:r>
              <w:rPr>
                <w:rFonts w:ascii="仿宋_GB2312" w:hAnsi="仿宋_GB2312" w:cs="仿宋_GB2312" w:eastAsia="仿宋_GB2312"/>
                <w:sz w:val="22"/>
                <w:color w:val="000000"/>
                <w:shd w:fill="FFFFFF" w:val="clear"/>
              </w:rPr>
              <w:t>。</w:t>
            </w:r>
          </w:p>
          <w:p>
            <w:pPr>
              <w:pStyle w:val="null3"/>
              <w:jc w:val="both"/>
            </w:pPr>
            <w:r>
              <w:rPr>
                <w:rFonts w:ascii="仿宋_GB2312" w:hAnsi="仿宋_GB2312" w:cs="仿宋_GB2312" w:eastAsia="仿宋_GB2312"/>
                <w:sz w:val="22"/>
                <w:color w:val="000000"/>
                <w:shd w:fill="FFFFFF" w:val="clear"/>
              </w:rPr>
              <w:t>9、花色标准：所有指定花色需为该色系典型纯色，无杂色斑点、条纹或色偏，花色均匀度≥95%。</w:t>
            </w:r>
          </w:p>
          <w:p>
            <w:pPr>
              <w:pStyle w:val="null3"/>
              <w:jc w:val="both"/>
            </w:pPr>
            <w:r>
              <w:rPr>
                <w:rFonts w:ascii="仿宋_GB2312" w:hAnsi="仿宋_GB2312" w:cs="仿宋_GB2312" w:eastAsia="仿宋_GB2312"/>
                <w:sz w:val="22"/>
                <w:color w:val="000000"/>
                <w:shd w:fill="FFFFFF" w:val="clear"/>
              </w:rPr>
              <w:t>10、</w:t>
            </w:r>
            <w:r>
              <w:rPr>
                <w:rFonts w:ascii="仿宋_GB2312" w:hAnsi="仿宋_GB2312" w:cs="仿宋_GB2312" w:eastAsia="仿宋_GB2312"/>
                <w:sz w:val="22"/>
                <w:color w:val="000000"/>
                <w:shd w:fill="FFFFFF" w:val="clear"/>
              </w:rPr>
              <w:t>根系：所有品种根系无发黑、腐烂、褐变，穴盘苗根系无散坨，根毛发达；根系颜色符合品种特性）。</w:t>
            </w:r>
          </w:p>
          <w:p>
            <w:pPr>
              <w:pStyle w:val="null3"/>
              <w:jc w:val="both"/>
            </w:pPr>
            <w:r>
              <w:rPr>
                <w:rFonts w:ascii="仿宋_GB2312" w:hAnsi="仿宋_GB2312" w:cs="仿宋_GB2312" w:eastAsia="仿宋_GB2312"/>
                <w:sz w:val="22"/>
                <w:color w:val="000000"/>
                <w:shd w:fill="FFFFFF" w:val="clear"/>
              </w:rPr>
              <w:t>11、</w:t>
            </w:r>
            <w:r>
              <w:rPr>
                <w:rFonts w:ascii="仿宋_GB2312" w:hAnsi="仿宋_GB2312" w:cs="仿宋_GB2312" w:eastAsia="仿宋_GB2312"/>
                <w:sz w:val="22"/>
                <w:color w:val="000000"/>
                <w:shd w:fill="FFFFFF" w:val="clear"/>
              </w:rPr>
              <w:t>株型要求：无弯曲、倒伏，表皮无机械损伤；株型紧凑，分枝均匀，节间长度适中。</w:t>
            </w:r>
          </w:p>
          <w:p>
            <w:pPr>
              <w:pStyle w:val="null3"/>
              <w:jc w:val="both"/>
            </w:pPr>
            <w:r>
              <w:rPr>
                <w:rFonts w:ascii="仿宋_GB2312" w:hAnsi="仿宋_GB2312" w:cs="仿宋_GB2312" w:eastAsia="仿宋_GB2312"/>
                <w:sz w:val="22"/>
                <w:color w:val="000000"/>
                <w:shd w:fill="FFFFFF" w:val="clear"/>
              </w:rPr>
              <w:t>12、</w:t>
            </w:r>
            <w:r>
              <w:rPr>
                <w:rFonts w:ascii="仿宋_GB2312" w:hAnsi="仿宋_GB2312" w:cs="仿宋_GB2312" w:eastAsia="仿宋_GB2312"/>
                <w:sz w:val="22"/>
                <w:color w:val="000000"/>
                <w:shd w:fill="FFFFFF" w:val="clear"/>
              </w:rPr>
              <w:t>叶片要求：叶片呈浓绿色，有光泽，无发黄、枯萎、卷曲，无病斑；裸根苗带叶时叶片数量</w:t>
            </w:r>
            <w:r>
              <w:rPr>
                <w:rFonts w:ascii="仿宋_GB2312" w:hAnsi="仿宋_GB2312" w:cs="仿宋_GB2312" w:eastAsia="仿宋_GB2312"/>
                <w:sz w:val="22"/>
                <w:color w:val="000000"/>
                <w:shd w:fill="FFFFFF" w:val="clear"/>
              </w:rPr>
              <w:t>≤3片/株，穴盘苗叶片数量符合生长阶段，叶柄/叶片无损伤。</w:t>
            </w:r>
          </w:p>
          <w:p>
            <w:pPr>
              <w:pStyle w:val="null3"/>
              <w:jc w:val="both"/>
            </w:pPr>
            <w:r>
              <w:rPr>
                <w:rFonts w:ascii="仿宋_GB2312" w:hAnsi="仿宋_GB2312" w:cs="仿宋_GB2312" w:eastAsia="仿宋_GB2312"/>
                <w:sz w:val="22"/>
                <w:b/>
                <w:color w:val="000000"/>
                <w:shd w:fill="FFFFFF" w:val="clear"/>
              </w:rPr>
              <w:t>三、</w:t>
            </w:r>
            <w:r>
              <w:rPr>
                <w:rFonts w:ascii="仿宋_GB2312" w:hAnsi="仿宋_GB2312" w:cs="仿宋_GB2312" w:eastAsia="仿宋_GB2312"/>
                <w:sz w:val="22"/>
                <w:b/>
                <w:color w:val="000000"/>
                <w:shd w:fill="FFFFFF" w:val="clear"/>
              </w:rPr>
              <w:t>服务要求</w:t>
            </w:r>
          </w:p>
          <w:p>
            <w:pPr>
              <w:pStyle w:val="null3"/>
              <w:jc w:val="both"/>
            </w:pPr>
            <w:r>
              <w:rPr>
                <w:rFonts w:ascii="仿宋_GB2312" w:hAnsi="仿宋_GB2312" w:cs="仿宋_GB2312" w:eastAsia="仿宋_GB2312"/>
                <w:sz w:val="22"/>
                <w:color w:val="000000"/>
                <w:shd w:fill="FFFFFF" w:val="clear"/>
              </w:rPr>
              <w:t>1、供货后</w:t>
            </w:r>
            <w:r>
              <w:rPr>
                <w:rFonts w:ascii="仿宋_GB2312" w:hAnsi="仿宋_GB2312" w:cs="仿宋_GB2312" w:eastAsia="仿宋_GB2312"/>
                <w:sz w:val="22"/>
                <w:color w:val="000000"/>
                <w:shd w:fill="FFFFFF" w:val="clear"/>
              </w:rPr>
              <w:t>供应商</w:t>
            </w:r>
            <w:r>
              <w:rPr>
                <w:rFonts w:ascii="仿宋_GB2312" w:hAnsi="仿宋_GB2312" w:cs="仿宋_GB2312" w:eastAsia="仿宋_GB2312"/>
                <w:sz w:val="22"/>
                <w:color w:val="000000"/>
                <w:shd w:fill="FFFFFF" w:val="clear"/>
              </w:rPr>
              <w:t>应提交货物清单当场验收，</w:t>
            </w:r>
            <w:r>
              <w:rPr>
                <w:rFonts w:ascii="仿宋_GB2312" w:hAnsi="仿宋_GB2312" w:cs="仿宋_GB2312" w:eastAsia="仿宋_GB2312"/>
                <w:sz w:val="22"/>
                <w:color w:val="000000"/>
                <w:shd w:fill="FFFFFF" w:val="clear"/>
              </w:rPr>
              <w:t>采购人</w:t>
            </w:r>
            <w:r>
              <w:rPr>
                <w:rFonts w:ascii="仿宋_GB2312" w:hAnsi="仿宋_GB2312" w:cs="仿宋_GB2312" w:eastAsia="仿宋_GB2312"/>
                <w:sz w:val="22"/>
                <w:color w:val="000000"/>
                <w:shd w:fill="FFFFFF" w:val="clear"/>
              </w:rPr>
              <w:t>有关人员依据合同内容进行验收，验收后双方负责人在验收单上签字认可。</w:t>
            </w:r>
          </w:p>
          <w:p>
            <w:pPr>
              <w:pStyle w:val="null3"/>
              <w:jc w:val="both"/>
            </w:pPr>
            <w:r>
              <w:rPr>
                <w:rFonts w:ascii="仿宋_GB2312" w:hAnsi="仿宋_GB2312" w:cs="仿宋_GB2312" w:eastAsia="仿宋_GB2312"/>
                <w:sz w:val="22"/>
                <w:color w:val="000000"/>
                <w:shd w:fill="FFFFFF" w:val="clear"/>
              </w:rPr>
              <w:t>2、</w:t>
            </w:r>
            <w:r>
              <w:rPr>
                <w:rFonts w:ascii="仿宋_GB2312" w:hAnsi="仿宋_GB2312" w:cs="仿宋_GB2312" w:eastAsia="仿宋_GB2312"/>
                <w:sz w:val="22"/>
                <w:color w:val="000000"/>
                <w:shd w:fill="FFFFFF" w:val="clear"/>
              </w:rPr>
              <w:t>供应商</w:t>
            </w:r>
            <w:r>
              <w:rPr>
                <w:rFonts w:ascii="仿宋_GB2312" w:hAnsi="仿宋_GB2312" w:cs="仿宋_GB2312" w:eastAsia="仿宋_GB2312"/>
                <w:sz w:val="22"/>
                <w:color w:val="000000"/>
                <w:shd w:fill="FFFFFF" w:val="clear"/>
              </w:rPr>
              <w:t>按照合同约定及实际内容提交验收资料，</w:t>
            </w:r>
            <w:r>
              <w:rPr>
                <w:rFonts w:ascii="仿宋_GB2312" w:hAnsi="仿宋_GB2312" w:cs="仿宋_GB2312" w:eastAsia="仿宋_GB2312"/>
                <w:sz w:val="22"/>
                <w:color w:val="000000"/>
                <w:shd w:fill="FFFFFF" w:val="clear"/>
              </w:rPr>
              <w:t>采购人</w:t>
            </w:r>
            <w:r>
              <w:rPr>
                <w:rFonts w:ascii="仿宋_GB2312" w:hAnsi="仿宋_GB2312" w:cs="仿宋_GB2312" w:eastAsia="仿宋_GB2312"/>
                <w:sz w:val="22"/>
                <w:color w:val="000000"/>
                <w:shd w:fill="FFFFFF" w:val="clear"/>
              </w:rPr>
              <w:t>根据合同约定、不得擅自改变验收规则或增加验收条件。</w:t>
            </w:r>
          </w:p>
          <w:p>
            <w:pPr>
              <w:pStyle w:val="null3"/>
              <w:jc w:val="both"/>
            </w:pPr>
            <w:r>
              <w:rPr>
                <w:rFonts w:ascii="仿宋_GB2312" w:hAnsi="仿宋_GB2312" w:cs="仿宋_GB2312" w:eastAsia="仿宋_GB2312"/>
                <w:sz w:val="22"/>
                <w:color w:val="000000"/>
                <w:shd w:fill="FFFFFF" w:val="clear"/>
              </w:rPr>
              <w:t>3、供货完成视为验收通过。</w:t>
            </w:r>
          </w:p>
          <w:p>
            <w:pPr>
              <w:pStyle w:val="null3"/>
              <w:jc w:val="both"/>
            </w:pPr>
            <w:r>
              <w:rPr>
                <w:rFonts w:ascii="仿宋_GB2312" w:hAnsi="仿宋_GB2312" w:cs="仿宋_GB2312" w:eastAsia="仿宋_GB2312"/>
                <w:sz w:val="22"/>
                <w:b/>
                <w:color w:val="000000"/>
                <w:shd w:fill="FFFFFF" w:val="clear"/>
              </w:rPr>
              <w:t>四、</w:t>
            </w:r>
            <w:r>
              <w:rPr>
                <w:rFonts w:ascii="仿宋_GB2312" w:hAnsi="仿宋_GB2312" w:cs="仿宋_GB2312" w:eastAsia="仿宋_GB2312"/>
                <w:sz w:val="22"/>
                <w:b/>
                <w:color w:val="000000"/>
                <w:shd w:fill="FFFFFF" w:val="clear"/>
              </w:rPr>
              <w:t>违约责任</w:t>
            </w:r>
          </w:p>
          <w:p>
            <w:pPr>
              <w:pStyle w:val="null3"/>
              <w:jc w:val="both"/>
            </w:pPr>
            <w:r>
              <w:rPr>
                <w:rFonts w:ascii="仿宋_GB2312" w:hAnsi="仿宋_GB2312" w:cs="仿宋_GB2312" w:eastAsia="仿宋_GB2312"/>
                <w:sz w:val="22"/>
                <w:color w:val="000000"/>
                <w:shd w:fill="FFFFFF" w:val="clear"/>
              </w:rPr>
              <w:t>1、按《中华人民共和国民法典》中的相关条款执行。</w:t>
            </w:r>
          </w:p>
          <w:p>
            <w:pPr>
              <w:pStyle w:val="null3"/>
              <w:jc w:val="both"/>
            </w:pPr>
            <w:r>
              <w:rPr>
                <w:rFonts w:ascii="仿宋_GB2312" w:hAnsi="仿宋_GB2312" w:cs="仿宋_GB2312" w:eastAsia="仿宋_GB2312"/>
                <w:sz w:val="22"/>
                <w:color w:val="000000"/>
                <w:shd w:fill="FFFFFF" w:val="clear"/>
              </w:rPr>
              <w:t>2、未按合同要求提供产品或质量不能满足技术要求，采购人有权终止合同，并对</w:t>
            </w:r>
            <w:r>
              <w:rPr>
                <w:rFonts w:ascii="仿宋_GB2312" w:hAnsi="仿宋_GB2312" w:cs="仿宋_GB2312" w:eastAsia="仿宋_GB2312"/>
                <w:sz w:val="22"/>
                <w:color w:val="000000"/>
                <w:shd w:fill="FFFFFF" w:val="clear"/>
              </w:rPr>
              <w:t>供应商</w:t>
            </w:r>
            <w:r>
              <w:rPr>
                <w:rFonts w:ascii="仿宋_GB2312" w:hAnsi="仿宋_GB2312" w:cs="仿宋_GB2312" w:eastAsia="仿宋_GB2312"/>
                <w:sz w:val="22"/>
                <w:color w:val="000000"/>
                <w:shd w:fill="FFFFFF" w:val="clear"/>
              </w:rPr>
              <w:t>违约行为进行追究，同时按《中华人民共和国政府采购法》的有关规定进行处罚。</w:t>
            </w:r>
          </w:p>
          <w:p>
            <w:pPr>
              <w:pStyle w:val="null3"/>
              <w:jc w:val="both"/>
            </w:pPr>
            <w:r>
              <w:rPr>
                <w:rFonts w:ascii="仿宋_GB2312" w:hAnsi="仿宋_GB2312" w:cs="仿宋_GB2312" w:eastAsia="仿宋_GB2312"/>
                <w:sz w:val="22"/>
                <w:b/>
                <w:color w:val="000000"/>
                <w:shd w:fill="FFFFFF" w:val="clear"/>
              </w:rPr>
              <w:t>五</w:t>
            </w:r>
            <w:r>
              <w:rPr>
                <w:rFonts w:ascii="仿宋_GB2312" w:hAnsi="仿宋_GB2312" w:cs="仿宋_GB2312" w:eastAsia="仿宋_GB2312"/>
                <w:sz w:val="22"/>
                <w:b/>
                <w:color w:val="000000"/>
                <w:shd w:fill="FFFFFF" w:val="clear"/>
              </w:rPr>
              <w:t>、验收标准、规范</w:t>
            </w:r>
          </w:p>
          <w:p>
            <w:pPr>
              <w:pStyle w:val="null3"/>
              <w:jc w:val="both"/>
            </w:pPr>
            <w:r>
              <w:rPr>
                <w:rFonts w:ascii="仿宋_GB2312" w:hAnsi="仿宋_GB2312" w:cs="仿宋_GB2312" w:eastAsia="仿宋_GB2312"/>
                <w:sz w:val="22"/>
                <w:color w:val="000000"/>
                <w:shd w:fill="FFFFFF" w:val="clear"/>
              </w:rPr>
              <w:t>按</w:t>
            </w:r>
            <w:r>
              <w:rPr>
                <w:rFonts w:ascii="仿宋_GB2312" w:hAnsi="仿宋_GB2312" w:cs="仿宋_GB2312" w:eastAsia="仿宋_GB2312"/>
                <w:sz w:val="22"/>
                <w:color w:val="000000"/>
                <w:shd w:fill="FFFFFF" w:val="clear"/>
              </w:rPr>
              <w:t>现行的国家标准或国家行政部门颁布的法律法规、规章制度</w:t>
            </w:r>
            <w:r>
              <w:rPr>
                <w:rFonts w:ascii="仿宋_GB2312" w:hAnsi="仿宋_GB2312" w:cs="仿宋_GB2312" w:eastAsia="仿宋_GB2312"/>
                <w:sz w:val="22"/>
                <w:color w:val="000000"/>
                <w:shd w:fill="FFFFFF" w:val="clear"/>
              </w:rPr>
              <w:t>及</w:t>
            </w:r>
            <w:r>
              <w:rPr>
                <w:rFonts w:ascii="仿宋_GB2312" w:hAnsi="仿宋_GB2312" w:cs="仿宋_GB2312" w:eastAsia="仿宋_GB2312"/>
                <w:sz w:val="22"/>
                <w:color w:val="000000"/>
                <w:shd w:fill="FFFFFF" w:val="clear"/>
              </w:rPr>
              <w:t>行业标准等。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自合同签订之日起7个日历日全部完成项目内容，并交付采购人验收合格。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按照财政资金拨付情况及时支付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2、验收依据 1）本项目竞争性谈判文件、响应文件； 2）本合同及附件文本； 3）合同签订时国家及行业现行的标准和技术规范。 4）供应商应向采购人提交项目实施过程中的所有资料，以便采购人日后管理。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自采购人验收合格并签署《验收确认单》之日起30个自然日。</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采购法》第七十三条、《中华人民共和国民法典》第五百七十七条中的相关条款执行。未按合同或采购文件要求提供的产品或服务，质量不能满足采购人技术要求，采购单位有权终止合同，并依法向中标供应商要求经济索赔，并报请政府采购监督管理机关进行相应的行政处罚。 2、解决争议方法：在执行本合同中发生的或与本合同有关的争端，双方应通过友好协商解决，经协商在30天内不能达成协议时，则向有管辖权的人民法院提起诉讼。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结果公告发布5日内，成交供应商须提交与电子响应文件一致的一正二副加盖公章的纸质版响应文件送至采购代理机构。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1、有效的注册登记证：具有独立承担民事责任能力，提供供应商合法注册的法人（负责人）或其他组织的营业执照等证明文件或自然人的身份证明。 2、财务状况报告：提供具有财务审计资质单位出具的2024年度财务报告（成立时间至提交响应文件截止时间不足一年的可提供成立后任意时段的资产负债表），或提交响应文件截止时间前三个月内基本账户开户银行出具的资信证明，（以上两种形式的资料提供任何一种即可）。 3、社会保障资金缴纳证明：提供自2024年9月1日以来已缴存的至少一个月的社会保障资金缴存单据或社保机构开具的社会保险参保缴费情况证明，依法免税的供应商应提供相关文件证明。 4、税收缴纳证明：提供自2024年9月1日以来已缴纳的至少一个月的纳税证明或完税证明，依法免税的供应商应提供相关文件证明。 5、具有履行本合同所必需的设备和专业技术能力的说明及承诺：提供具有履行本合同所必需的设备和专业技术能力的说明及承诺。 6、无重大违法记录声明：参加本次政府采购活动前3年内在经营活动中没有重大违法记录，以及未被列入失信被执行人、重大税收违法案件当事人名单、政府采购严重违法失信行为记录名单的书面声明。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法定代表人授权书（或法定代表人证明书）</w:t>
            </w:r>
          </w:p>
        </w:tc>
        <w:tc>
          <w:tcPr>
            <w:tcW w:type="dxa" w:w="3322"/>
          </w:tcPr>
          <w:p>
            <w:pPr>
              <w:pStyle w:val="null3"/>
            </w:pPr>
            <w:r>
              <w:rPr>
                <w:rFonts w:ascii="仿宋_GB2312" w:hAnsi="仿宋_GB2312" w:cs="仿宋_GB2312" w:eastAsia="仿宋_GB2312"/>
              </w:rPr>
              <w:t>法定代表人直接参加谈判只须提供法定代表人身份证明书（附法定代表人身份证复印件），法定代表人授权代表参加的须出具法定代表人授权委托书（附法定代表人身份证复印件及被授权人身份证复印件）及被授权人本单位的社保证明(谈判截止日前一年内已缴存的任意一个月的社会保障资金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响应文件的签署盖章，响应文件格式，填写均无遗漏，且与所投项目名称、项目编号完全一致。均符合竞争性谈判文件要求。</w:t>
            </w:r>
          </w:p>
        </w:tc>
        <w:tc>
          <w:tcPr>
            <w:tcW w:type="dxa" w:w="1661"/>
          </w:tcPr>
          <w:p>
            <w:pPr>
              <w:pStyle w:val="null3"/>
            </w:pPr>
            <w:r>
              <w:rPr>
                <w:rFonts w:ascii="仿宋_GB2312" w:hAnsi="仿宋_GB2312" w:cs="仿宋_GB2312" w:eastAsia="仿宋_GB2312"/>
              </w:rPr>
              <w:t>响应文件封面 供应商参加政府采购活动承诺书.docx 产品技术参数表 分项报价表.docx 中小企业声明函 残疾人福利性单位声明函 商务应答表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1.响应文件组成无缺漏项。 2.未出现漏项或产品数量与要求不符。</w:t>
            </w:r>
          </w:p>
        </w:tc>
        <w:tc>
          <w:tcPr>
            <w:tcW w:type="dxa" w:w="1661"/>
          </w:tcPr>
          <w:p>
            <w:pPr>
              <w:pStyle w:val="null3"/>
            </w:pPr>
            <w:r>
              <w:rPr>
                <w:rFonts w:ascii="仿宋_GB2312" w:hAnsi="仿宋_GB2312" w:cs="仿宋_GB2312" w:eastAsia="仿宋_GB2312"/>
              </w:rPr>
              <w:t>供应商参加政府采购活动承诺书.docx 技术方案.docx 中小企业声明函 商务应答表 报价表 资格证明文件.docx 供应商概况.docx 响应文件封面 产品技术参数表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响应程度审查</w:t>
            </w:r>
          </w:p>
        </w:tc>
        <w:tc>
          <w:tcPr>
            <w:tcW w:type="dxa" w:w="3322"/>
          </w:tcPr>
          <w:p>
            <w:pPr>
              <w:pStyle w:val="null3"/>
            </w:pPr>
            <w:r>
              <w:rPr>
                <w:rFonts w:ascii="仿宋_GB2312" w:hAnsi="仿宋_GB2312" w:cs="仿宋_GB2312" w:eastAsia="仿宋_GB2312"/>
              </w:rPr>
              <w:t>响应报价的响应程度、交货期、质保期、响应有效期，均符合竞争性谈判要求。</w:t>
            </w:r>
          </w:p>
        </w:tc>
        <w:tc>
          <w:tcPr>
            <w:tcW w:type="dxa" w:w="1661"/>
          </w:tcPr>
          <w:p>
            <w:pPr>
              <w:pStyle w:val="null3"/>
            </w:pPr>
            <w:r>
              <w:rPr>
                <w:rFonts w:ascii="仿宋_GB2312" w:hAnsi="仿宋_GB2312" w:cs="仿宋_GB2312" w:eastAsia="仿宋_GB2312"/>
              </w:rPr>
              <w:t>商务应答表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应符合竞争性谈判文件规定的其他实质性要求的</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详见附件：供应商概况.docx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