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5E330A">
      <w:pPr>
        <w:pStyle w:val="3"/>
        <w:numPr>
          <w:ilvl w:val="0"/>
          <w:numId w:val="0"/>
        </w:numPr>
        <w:spacing w:before="0" w:after="0" w:line="480" w:lineRule="auto"/>
        <w:jc w:val="center"/>
        <w:rPr>
          <w:rFonts w:hint="eastAsia" w:ascii="宋体" w:hAnsi="宋体"/>
        </w:rPr>
      </w:pPr>
    </w:p>
    <w:p w14:paraId="1592463C">
      <w:pPr>
        <w:pStyle w:val="3"/>
        <w:numPr>
          <w:ilvl w:val="0"/>
          <w:numId w:val="0"/>
        </w:numPr>
        <w:spacing w:before="0" w:after="0" w:line="480" w:lineRule="auto"/>
        <w:jc w:val="center"/>
        <w:rPr>
          <w:rFonts w:hint="eastAsia"/>
        </w:rPr>
      </w:pPr>
      <w:r>
        <w:rPr>
          <w:rFonts w:hint="eastAsia" w:ascii="宋体" w:hAnsi="宋体"/>
        </w:rPr>
        <w:t>合同条款</w:t>
      </w:r>
      <w:r>
        <w:rPr>
          <w:rFonts w:hint="eastAsia" w:ascii="宋体" w:hAnsi="宋体"/>
          <w:lang w:val="en-US" w:eastAsia="zh-CN"/>
        </w:rPr>
        <w:t>及格式</w:t>
      </w:r>
    </w:p>
    <w:p w14:paraId="00C49435">
      <w:pPr>
        <w:spacing w:line="440" w:lineRule="exact"/>
        <w:ind w:firstLine="480" w:firstLineChars="200"/>
        <w:rPr>
          <w:rFonts w:ascii="宋体" w:hAnsi="宋体"/>
          <w:sz w:val="24"/>
        </w:rPr>
      </w:pPr>
    </w:p>
    <w:p w14:paraId="7399F3A6">
      <w:pPr>
        <w:pStyle w:val="6"/>
        <w:rPr>
          <w:rFonts w:hint="eastAsia"/>
        </w:rPr>
      </w:pPr>
    </w:p>
    <w:p w14:paraId="64C100A4">
      <w:pPr>
        <w:rPr>
          <w:rFonts w:hint="eastAsia"/>
        </w:rPr>
      </w:pPr>
    </w:p>
    <w:p w14:paraId="685DC48C">
      <w:pPr>
        <w:pStyle w:val="6"/>
        <w:rPr>
          <w:rFonts w:hint="eastAsia"/>
        </w:rPr>
      </w:pPr>
    </w:p>
    <w:p w14:paraId="559509CD">
      <w:pPr>
        <w:rPr>
          <w:rFonts w:hint="eastAsia"/>
        </w:rPr>
      </w:pPr>
    </w:p>
    <w:p w14:paraId="2B6F2DF7">
      <w:pPr>
        <w:bidi w:val="0"/>
        <w:jc w:val="center"/>
        <w:rPr>
          <w:rFonts w:hint="eastAsia" w:eastAsia="宋体"/>
          <w:b/>
          <w:bCs/>
          <w:sz w:val="44"/>
          <w:szCs w:val="44"/>
          <w:lang w:eastAsia="zh-CN"/>
        </w:rPr>
      </w:pPr>
    </w:p>
    <w:p w14:paraId="14CC62A6">
      <w:pPr>
        <w:pStyle w:val="6"/>
        <w:rPr>
          <w:rFonts w:hint="eastAsia"/>
          <w:b/>
          <w:bCs/>
          <w:sz w:val="44"/>
          <w:szCs w:val="44"/>
          <w:lang w:eastAsia="zh-CN"/>
        </w:rPr>
      </w:pPr>
    </w:p>
    <w:p w14:paraId="6899732E">
      <w:pPr>
        <w:rPr>
          <w:rFonts w:hint="eastAsia"/>
          <w:b/>
          <w:bCs/>
          <w:sz w:val="44"/>
          <w:szCs w:val="44"/>
          <w:lang w:eastAsia="zh-CN"/>
        </w:rPr>
      </w:pPr>
    </w:p>
    <w:p w14:paraId="041E03CE">
      <w:pPr>
        <w:pStyle w:val="6"/>
        <w:rPr>
          <w:rFonts w:hint="eastAsia"/>
          <w:b/>
          <w:bCs/>
          <w:sz w:val="44"/>
          <w:szCs w:val="44"/>
          <w:lang w:eastAsia="zh-CN"/>
        </w:rPr>
      </w:pPr>
    </w:p>
    <w:p w14:paraId="0FE2C2BD">
      <w:pPr>
        <w:rPr>
          <w:rFonts w:hint="eastAsia"/>
          <w:b/>
          <w:bCs/>
          <w:sz w:val="44"/>
          <w:szCs w:val="44"/>
          <w:lang w:eastAsia="zh-CN"/>
        </w:rPr>
      </w:pPr>
    </w:p>
    <w:p w14:paraId="58045E31">
      <w:pPr>
        <w:pStyle w:val="6"/>
        <w:rPr>
          <w:rFonts w:hint="eastAsia"/>
          <w:b/>
          <w:bCs/>
          <w:sz w:val="44"/>
          <w:szCs w:val="44"/>
          <w:lang w:eastAsia="zh-CN"/>
        </w:rPr>
      </w:pPr>
    </w:p>
    <w:p w14:paraId="7F8A8438">
      <w:pPr>
        <w:jc w:val="center"/>
        <w:rPr>
          <w:rFonts w:hint="eastAsia"/>
          <w:b/>
          <w:bCs/>
          <w:sz w:val="44"/>
          <w:szCs w:val="44"/>
          <w:lang w:val="en-US" w:eastAsia="zh-CN"/>
        </w:rPr>
      </w:pPr>
      <w:r>
        <w:rPr>
          <w:rFonts w:hint="eastAsia"/>
          <w:b/>
          <w:bCs/>
          <w:sz w:val="44"/>
          <w:szCs w:val="44"/>
          <w:lang w:val="en-US" w:eastAsia="zh-CN"/>
        </w:rPr>
        <w:t>服务合同</w:t>
      </w:r>
    </w:p>
    <w:p w14:paraId="0A1FB02F">
      <w:pPr>
        <w:pStyle w:val="6"/>
        <w:rPr>
          <w:rFonts w:hint="eastAsia"/>
          <w:b/>
          <w:bCs/>
          <w:sz w:val="44"/>
          <w:szCs w:val="44"/>
          <w:lang w:val="en-US" w:eastAsia="zh-CN"/>
        </w:rPr>
      </w:pPr>
    </w:p>
    <w:p w14:paraId="3DF12ABA">
      <w:pPr>
        <w:rPr>
          <w:rFonts w:hint="eastAsia"/>
          <w:b/>
          <w:bCs/>
          <w:sz w:val="44"/>
          <w:szCs w:val="44"/>
          <w:lang w:val="en-US" w:eastAsia="zh-CN"/>
        </w:rPr>
      </w:pPr>
    </w:p>
    <w:p w14:paraId="5E8502AD">
      <w:pPr>
        <w:pStyle w:val="6"/>
        <w:rPr>
          <w:rFonts w:hint="eastAsia"/>
          <w:b/>
          <w:bCs/>
          <w:sz w:val="44"/>
          <w:szCs w:val="44"/>
          <w:lang w:val="en-US" w:eastAsia="zh-CN"/>
        </w:rPr>
      </w:pPr>
    </w:p>
    <w:p w14:paraId="69C2C2EE">
      <w:pPr>
        <w:rPr>
          <w:rFonts w:hint="eastAsia"/>
          <w:lang w:val="en-US" w:eastAsia="zh-CN"/>
        </w:rPr>
      </w:pPr>
    </w:p>
    <w:p w14:paraId="3373AF8B">
      <w:pPr>
        <w:pStyle w:val="6"/>
        <w:rPr>
          <w:rFonts w:hint="eastAsia"/>
          <w:b/>
          <w:bCs/>
          <w:sz w:val="44"/>
          <w:szCs w:val="44"/>
          <w:lang w:val="en-US" w:eastAsia="zh-CN"/>
        </w:rPr>
      </w:pPr>
    </w:p>
    <w:p w14:paraId="612DD7F9">
      <w:pPr>
        <w:spacing w:line="500" w:lineRule="exact"/>
        <w:ind w:firstLine="960" w:firstLineChars="400"/>
        <w:rPr>
          <w:rFonts w:hint="eastAsia" w:ascii="宋体" w:hAnsi="宋体" w:eastAsia="宋体" w:cs="Times New Roman"/>
          <w:sz w:val="24"/>
          <w:lang w:val="en-US" w:eastAsia="zh-CN"/>
        </w:rPr>
      </w:pPr>
      <w:r>
        <w:rPr>
          <w:rFonts w:hint="eastAsia" w:ascii="宋体" w:hAnsi="宋体" w:eastAsia="宋体" w:cs="Times New Roman"/>
          <w:sz w:val="24"/>
          <w:lang w:val="en-US" w:eastAsia="zh-CN"/>
        </w:rPr>
        <w:t>合  同  编  号：</w:t>
      </w:r>
    </w:p>
    <w:p w14:paraId="5A3C337F">
      <w:pPr>
        <w:spacing w:line="500" w:lineRule="exact"/>
        <w:ind w:firstLine="960" w:firstLineChars="400"/>
        <w:rPr>
          <w:rFonts w:hint="eastAsia" w:ascii="宋体" w:hAnsi="宋体" w:eastAsia="宋体" w:cs="Times New Roman"/>
          <w:sz w:val="24"/>
          <w:lang w:val="en-US" w:eastAsia="zh-CN"/>
        </w:rPr>
      </w:pPr>
      <w:r>
        <w:rPr>
          <w:rFonts w:hint="eastAsia" w:ascii="宋体" w:hAnsi="宋体" w:eastAsia="宋体" w:cs="Times New Roman"/>
          <w:sz w:val="24"/>
          <w:lang w:val="en-US" w:eastAsia="zh-CN"/>
        </w:rPr>
        <w:t>项  目  名  称：</w:t>
      </w:r>
    </w:p>
    <w:p w14:paraId="15F906DD">
      <w:pPr>
        <w:spacing w:line="500" w:lineRule="exact"/>
        <w:ind w:firstLine="960" w:firstLineChars="400"/>
        <w:rPr>
          <w:rFonts w:ascii="宋体" w:hAnsi="宋体"/>
          <w:sz w:val="24"/>
        </w:rPr>
      </w:pPr>
      <w:r>
        <w:rPr>
          <w:rFonts w:hint="eastAsia" w:ascii="宋体" w:hAnsi="宋体"/>
          <w:sz w:val="24"/>
        </w:rPr>
        <w:t>采购人（</w:t>
      </w:r>
      <w:r>
        <w:rPr>
          <w:rFonts w:hint="eastAsia" w:ascii="宋体" w:hAnsi="宋体"/>
          <w:sz w:val="24"/>
          <w:lang w:eastAsia="zh-CN"/>
        </w:rPr>
        <w:t>甲方</w:t>
      </w:r>
      <w:r>
        <w:rPr>
          <w:rFonts w:hint="eastAsia" w:ascii="宋体" w:hAnsi="宋体"/>
          <w:sz w:val="24"/>
        </w:rPr>
        <w:t>）</w:t>
      </w:r>
      <w:r>
        <w:rPr>
          <w:rFonts w:ascii="宋体" w:hAnsi="宋体"/>
          <w:sz w:val="24"/>
        </w:rPr>
        <w:t>：</w:t>
      </w:r>
    </w:p>
    <w:p w14:paraId="4F2FC455">
      <w:pPr>
        <w:spacing w:line="500" w:lineRule="exact"/>
        <w:ind w:firstLine="960" w:firstLineChars="400"/>
        <w:rPr>
          <w:rFonts w:ascii="宋体" w:hAnsi="宋体"/>
          <w:sz w:val="24"/>
        </w:rPr>
      </w:pPr>
      <w:r>
        <w:rPr>
          <w:rFonts w:hint="eastAsia" w:ascii="宋体" w:hAnsi="宋体"/>
          <w:sz w:val="24"/>
        </w:rPr>
        <w:t>成交人（</w:t>
      </w:r>
      <w:r>
        <w:rPr>
          <w:rFonts w:hint="eastAsia" w:ascii="宋体" w:hAnsi="宋体"/>
          <w:sz w:val="24"/>
          <w:lang w:val="en-US" w:eastAsia="zh-CN"/>
        </w:rPr>
        <w:t>乙</w:t>
      </w:r>
      <w:r>
        <w:rPr>
          <w:rFonts w:ascii="宋体" w:hAnsi="宋体"/>
          <w:sz w:val="24"/>
        </w:rPr>
        <w:t>方</w:t>
      </w:r>
      <w:r>
        <w:rPr>
          <w:rFonts w:hint="eastAsia" w:ascii="宋体" w:hAnsi="宋体"/>
          <w:sz w:val="24"/>
        </w:rPr>
        <w:t>）</w:t>
      </w:r>
      <w:r>
        <w:rPr>
          <w:rFonts w:ascii="宋体" w:hAnsi="宋体"/>
          <w:sz w:val="24"/>
        </w:rPr>
        <w:t>：</w:t>
      </w:r>
    </w:p>
    <w:p w14:paraId="1C0062BC">
      <w:pPr>
        <w:spacing w:line="500" w:lineRule="exact"/>
        <w:ind w:firstLine="960" w:firstLineChars="400"/>
        <w:rPr>
          <w:rFonts w:ascii="宋体" w:hAnsi="宋体"/>
          <w:sz w:val="24"/>
        </w:rPr>
      </w:pPr>
      <w:r>
        <w:rPr>
          <w:rFonts w:ascii="宋体" w:hAnsi="宋体"/>
          <w:sz w:val="24"/>
        </w:rPr>
        <w:t>签</w:t>
      </w:r>
      <w:r>
        <w:rPr>
          <w:rFonts w:hint="eastAsia" w:ascii="宋体" w:hAnsi="宋体"/>
          <w:sz w:val="24"/>
          <w:lang w:val="en-US" w:eastAsia="zh-CN"/>
        </w:rPr>
        <w:t xml:space="preserve">  </w:t>
      </w:r>
      <w:r>
        <w:rPr>
          <w:rFonts w:ascii="宋体" w:hAnsi="宋体"/>
          <w:sz w:val="24"/>
        </w:rPr>
        <w:t>订</w:t>
      </w:r>
      <w:r>
        <w:rPr>
          <w:rFonts w:hint="eastAsia" w:ascii="宋体" w:hAnsi="宋体"/>
          <w:sz w:val="24"/>
          <w:lang w:val="en-US" w:eastAsia="zh-CN"/>
        </w:rPr>
        <w:t xml:space="preserve">  </w:t>
      </w:r>
      <w:r>
        <w:rPr>
          <w:rFonts w:ascii="宋体" w:hAnsi="宋体"/>
          <w:sz w:val="24"/>
        </w:rPr>
        <w:t>地</w:t>
      </w:r>
      <w:r>
        <w:rPr>
          <w:rFonts w:hint="eastAsia" w:ascii="宋体" w:hAnsi="宋体"/>
          <w:sz w:val="24"/>
          <w:lang w:val="en-US" w:eastAsia="zh-CN"/>
        </w:rPr>
        <w:t xml:space="preserve">  </w:t>
      </w:r>
      <w:r>
        <w:rPr>
          <w:rFonts w:ascii="宋体" w:hAnsi="宋体"/>
          <w:sz w:val="24"/>
        </w:rPr>
        <w:t xml:space="preserve">点： </w:t>
      </w:r>
    </w:p>
    <w:p w14:paraId="1BE1B6E3">
      <w:pPr>
        <w:spacing w:line="500" w:lineRule="exact"/>
        <w:ind w:firstLine="960" w:firstLineChars="400"/>
        <w:rPr>
          <w:rFonts w:hint="eastAsia"/>
          <w:color w:val="000000"/>
          <w:sz w:val="24"/>
        </w:rPr>
      </w:pPr>
      <w:r>
        <w:rPr>
          <w:rFonts w:ascii="宋体" w:hAnsi="宋体"/>
          <w:sz w:val="24"/>
        </w:rPr>
        <w:t>签</w:t>
      </w:r>
      <w:r>
        <w:rPr>
          <w:rFonts w:hint="eastAsia" w:ascii="宋体" w:hAnsi="宋体"/>
          <w:sz w:val="24"/>
          <w:lang w:val="en-US" w:eastAsia="zh-CN"/>
        </w:rPr>
        <w:t xml:space="preserve">  </w:t>
      </w:r>
      <w:r>
        <w:rPr>
          <w:rFonts w:ascii="宋体" w:hAnsi="宋体"/>
          <w:sz w:val="24"/>
        </w:rPr>
        <w:t>订</w:t>
      </w:r>
      <w:r>
        <w:rPr>
          <w:rFonts w:hint="eastAsia" w:ascii="宋体" w:hAnsi="宋体"/>
          <w:sz w:val="24"/>
          <w:lang w:val="en-US" w:eastAsia="zh-CN"/>
        </w:rPr>
        <w:t xml:space="preserve">  </w:t>
      </w:r>
      <w:r>
        <w:rPr>
          <w:rFonts w:ascii="宋体" w:hAnsi="宋体"/>
          <w:sz w:val="24"/>
        </w:rPr>
        <w:t>时</w:t>
      </w:r>
      <w:r>
        <w:rPr>
          <w:rFonts w:hint="eastAsia" w:ascii="宋体" w:hAnsi="宋体"/>
          <w:sz w:val="24"/>
          <w:lang w:val="en-US" w:eastAsia="zh-CN"/>
        </w:rPr>
        <w:t xml:space="preserve">  </w:t>
      </w:r>
      <w:r>
        <w:rPr>
          <w:rFonts w:ascii="宋体" w:hAnsi="宋体"/>
          <w:sz w:val="24"/>
        </w:rPr>
        <w:t>间：</w:t>
      </w:r>
    </w:p>
    <w:p w14:paraId="43EFC96A">
      <w:pPr>
        <w:pStyle w:val="6"/>
        <w:sectPr>
          <w:pgSz w:w="11907" w:h="16840"/>
          <w:pgMar w:top="1418" w:right="1417" w:bottom="1417" w:left="1417" w:header="907" w:footer="654" w:gutter="0"/>
          <w:cols w:space="720" w:num="1"/>
          <w:titlePg/>
          <w:docGrid w:linePitch="312" w:charSpace="0"/>
        </w:sectPr>
      </w:pPr>
    </w:p>
    <w:p w14:paraId="2AD6753E">
      <w:pPr>
        <w:spacing w:line="500" w:lineRule="exact"/>
        <w:rPr>
          <w:rFonts w:hint="default" w:ascii="宋体" w:hAnsi="宋体" w:eastAsia="宋体"/>
          <w:sz w:val="24"/>
          <w:u w:val="single"/>
          <w:lang w:val="en-US" w:eastAsia="zh-CN"/>
        </w:rPr>
      </w:pPr>
      <w:r>
        <w:rPr>
          <w:rFonts w:hint="eastAsia" w:ascii="宋体" w:hAnsi="宋体"/>
          <w:sz w:val="24"/>
        </w:rPr>
        <w:t>采购人（</w:t>
      </w:r>
      <w:r>
        <w:rPr>
          <w:rFonts w:hint="eastAsia" w:ascii="宋体" w:hAnsi="宋体"/>
          <w:sz w:val="24"/>
          <w:lang w:eastAsia="zh-CN"/>
        </w:rPr>
        <w:t>甲方</w:t>
      </w:r>
      <w:r>
        <w:rPr>
          <w:rFonts w:hint="eastAsia" w:ascii="宋体" w:hAnsi="宋体"/>
          <w:sz w:val="24"/>
        </w:rPr>
        <w:t>）</w:t>
      </w:r>
      <w:r>
        <w:rPr>
          <w:rFonts w:ascii="宋体" w:hAnsi="宋体"/>
          <w:sz w:val="24"/>
        </w:rPr>
        <w:t>：</w:t>
      </w:r>
      <w:r>
        <w:rPr>
          <w:rFonts w:hint="eastAsia" w:ascii="宋体" w:hAnsi="宋体"/>
          <w:sz w:val="24"/>
          <w:u w:val="single"/>
          <w:lang w:val="en-US" w:eastAsia="zh-CN"/>
        </w:rPr>
        <w:t xml:space="preserve">                      </w:t>
      </w:r>
    </w:p>
    <w:p w14:paraId="01081DF7">
      <w:pPr>
        <w:keepNext w:val="0"/>
        <w:keepLines w:val="0"/>
        <w:pageBreakBefore w:val="0"/>
        <w:widowControl/>
        <w:kinsoku/>
        <w:wordWrap/>
        <w:overflowPunct/>
        <w:topLinePunct w:val="0"/>
        <w:autoSpaceDE/>
        <w:autoSpaceDN/>
        <w:bidi w:val="0"/>
        <w:spacing w:line="360" w:lineRule="auto"/>
        <w:ind w:right="57" w:rightChars="27"/>
        <w:textAlignment w:val="auto"/>
        <w:rPr>
          <w:rFonts w:hint="default" w:ascii="宋体" w:hAnsi="宋体" w:eastAsia="宋体"/>
          <w:spacing w:val="-2"/>
          <w:kern w:val="0"/>
          <w:sz w:val="24"/>
          <w:u w:val="single"/>
          <w:lang w:val="en-US" w:eastAsia="zh-CN"/>
        </w:rPr>
      </w:pPr>
      <w:r>
        <w:rPr>
          <w:rFonts w:hint="eastAsia" w:ascii="宋体" w:hAnsi="宋体"/>
          <w:sz w:val="24"/>
        </w:rPr>
        <w:t>成交人（</w:t>
      </w:r>
      <w:r>
        <w:rPr>
          <w:rFonts w:hint="eastAsia" w:ascii="宋体" w:hAnsi="宋体"/>
          <w:sz w:val="24"/>
          <w:lang w:val="en-US" w:eastAsia="zh-CN"/>
        </w:rPr>
        <w:t>乙</w:t>
      </w:r>
      <w:r>
        <w:rPr>
          <w:rFonts w:ascii="宋体" w:hAnsi="宋体"/>
          <w:sz w:val="24"/>
        </w:rPr>
        <w:t>方</w:t>
      </w:r>
      <w:r>
        <w:rPr>
          <w:rFonts w:hint="eastAsia" w:ascii="宋体" w:hAnsi="宋体"/>
          <w:sz w:val="24"/>
        </w:rPr>
        <w:t>）</w:t>
      </w:r>
      <w:r>
        <w:rPr>
          <w:rFonts w:ascii="宋体" w:hAnsi="宋体"/>
          <w:sz w:val="24"/>
        </w:rPr>
        <w:t>：</w:t>
      </w:r>
      <w:r>
        <w:rPr>
          <w:rFonts w:hint="eastAsia" w:ascii="宋体" w:hAnsi="宋体"/>
          <w:sz w:val="24"/>
          <w:u w:val="single"/>
          <w:lang w:val="en-US" w:eastAsia="zh-CN"/>
        </w:rPr>
        <w:t xml:space="preserve">                       </w:t>
      </w:r>
    </w:p>
    <w:p w14:paraId="12BA3A65">
      <w:pPr>
        <w:keepNext w:val="0"/>
        <w:keepLines w:val="0"/>
        <w:pageBreakBefore w:val="0"/>
        <w:widowControl/>
        <w:kinsoku/>
        <w:wordWrap/>
        <w:overflowPunct/>
        <w:topLinePunct w:val="0"/>
        <w:autoSpaceDE/>
        <w:autoSpaceDN/>
        <w:bidi w:val="0"/>
        <w:spacing w:line="360" w:lineRule="auto"/>
        <w:ind w:right="57" w:rightChars="27" w:firstLine="480" w:firstLineChars="200"/>
        <w:textAlignment w:val="auto"/>
        <w:rPr>
          <w:rFonts w:hint="eastAsia" w:ascii="宋体" w:hAnsi="宋体"/>
          <w:kern w:val="0"/>
          <w:sz w:val="24"/>
        </w:rPr>
      </w:pPr>
      <w:r>
        <w:rPr>
          <w:rFonts w:hint="eastAsia" w:ascii="宋体" w:hAnsi="宋体"/>
          <w:sz w:val="24"/>
          <w:u w:val="single"/>
          <w:lang w:val="en-US" w:eastAsia="zh-CN"/>
        </w:rPr>
        <w:t xml:space="preserve">       项目名称        </w:t>
      </w:r>
      <w:r>
        <w:rPr>
          <w:rFonts w:hint="eastAsia" w:ascii="宋体" w:hAnsi="宋体"/>
          <w:sz w:val="24"/>
          <w:lang w:eastAsia="zh-CN"/>
        </w:rPr>
        <w:t>）</w:t>
      </w:r>
      <w:r>
        <w:rPr>
          <w:rFonts w:hint="eastAsia" w:ascii="宋体" w:hAnsi="宋体"/>
          <w:sz w:val="24"/>
        </w:rPr>
        <w:t>(项目编号</w:t>
      </w:r>
      <w:r>
        <w:rPr>
          <w:rFonts w:hint="eastAsia" w:ascii="宋体" w:hAnsi="宋体"/>
          <w:sz w:val="24"/>
          <w:lang w:eastAsia="zh-CN"/>
        </w:rPr>
        <w:t>：</w:t>
      </w:r>
      <w:r>
        <w:rPr>
          <w:rFonts w:hint="eastAsia" w:ascii="宋体" w:hAnsi="宋体"/>
          <w:sz w:val="24"/>
          <w:u w:val="single"/>
          <w:lang w:val="en-US" w:eastAsia="zh-CN"/>
        </w:rPr>
        <w:t xml:space="preserve">        </w:t>
      </w:r>
      <w:r>
        <w:rPr>
          <w:rFonts w:hint="eastAsia" w:ascii="宋体" w:hAnsi="宋体"/>
          <w:sz w:val="24"/>
          <w:u w:val="none"/>
          <w:lang w:val="en-US" w:eastAsia="zh-CN"/>
        </w:rPr>
        <w:t>、</w:t>
      </w:r>
      <w:r>
        <w:rPr>
          <w:rFonts w:hint="eastAsia" w:ascii="宋体" w:hAnsi="宋体"/>
          <w:sz w:val="24"/>
        </w:rPr>
        <w:t>采购包号：</w:t>
      </w:r>
      <w:r>
        <w:rPr>
          <w:rFonts w:hint="eastAsia" w:ascii="宋体" w:hAnsi="宋体"/>
          <w:sz w:val="24"/>
          <w:u w:val="single"/>
          <w:lang w:val="en-US" w:eastAsia="zh-CN"/>
        </w:rPr>
        <w:t xml:space="preserve">      </w:t>
      </w:r>
      <w:r>
        <w:rPr>
          <w:rFonts w:hint="eastAsia" w:ascii="宋体" w:hAnsi="宋体"/>
          <w:sz w:val="24"/>
          <w:u w:val="none"/>
          <w:lang w:val="en-US" w:eastAsia="zh-CN"/>
        </w:rPr>
        <w:t>）</w:t>
      </w:r>
      <w:r>
        <w:rPr>
          <w:rFonts w:hint="eastAsia" w:ascii="宋体" w:hAnsi="宋体"/>
          <w:sz w:val="24"/>
          <w:u w:val="none"/>
        </w:rPr>
        <w:t>，</w:t>
      </w:r>
      <w:r>
        <w:rPr>
          <w:rFonts w:hint="eastAsia" w:ascii="宋体" w:hAnsi="宋体"/>
          <w:kern w:val="0"/>
          <w:sz w:val="24"/>
        </w:rPr>
        <w:t>由</w:t>
      </w:r>
      <w:r>
        <w:rPr>
          <w:rFonts w:hint="eastAsia" w:ascii="宋体" w:hAnsi="宋体"/>
          <w:kern w:val="0"/>
          <w:sz w:val="24"/>
          <w:lang w:eastAsia="zh-CN"/>
        </w:rPr>
        <w:t>安屹项目管理有限公司</w:t>
      </w:r>
      <w:r>
        <w:rPr>
          <w:rFonts w:hint="eastAsia" w:ascii="宋体" w:hAnsi="宋体"/>
          <w:kern w:val="0"/>
          <w:sz w:val="24"/>
        </w:rPr>
        <w:t>组织竞争性磋商。</w:t>
      </w:r>
      <w:r>
        <w:rPr>
          <w:rFonts w:hint="eastAsia" w:ascii="宋体" w:hAnsi="宋体"/>
          <w:kern w:val="0"/>
          <w:sz w:val="24"/>
          <w:u w:val="single"/>
          <w:lang w:val="en-US" w:eastAsia="zh-CN"/>
        </w:rPr>
        <w:t xml:space="preserve">                  </w:t>
      </w:r>
      <w:r>
        <w:rPr>
          <w:rFonts w:hint="eastAsia" w:ascii="宋体" w:hAnsi="宋体"/>
          <w:kern w:val="0"/>
          <w:sz w:val="24"/>
        </w:rPr>
        <w:t xml:space="preserve">(以下简称“甲方”)确定 </w:t>
      </w:r>
      <w:r>
        <w:rPr>
          <w:rFonts w:hint="eastAsia" w:ascii="宋体" w:hAnsi="宋体"/>
          <w:kern w:val="0"/>
          <w:sz w:val="24"/>
          <w:u w:val="single"/>
        </w:rPr>
        <w:t xml:space="preserve">(成交单位名称) </w:t>
      </w:r>
      <w:r>
        <w:rPr>
          <w:rFonts w:hint="eastAsia" w:ascii="宋体" w:hAnsi="宋体"/>
          <w:kern w:val="0"/>
          <w:sz w:val="24"/>
        </w:rPr>
        <w:t>（以下简称“乙方”）为成交单位。</w:t>
      </w:r>
    </w:p>
    <w:p w14:paraId="08660B00">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kern w:val="0"/>
          <w:sz w:val="24"/>
        </w:rPr>
      </w:pPr>
      <w:r>
        <w:rPr>
          <w:rFonts w:hint="eastAsia" w:ascii="宋体" w:hAnsi="宋体"/>
          <w:kern w:val="0"/>
          <w:sz w:val="24"/>
        </w:rPr>
        <w:t>依据《</w:t>
      </w:r>
      <w:r>
        <w:rPr>
          <w:rFonts w:hint="eastAsia" w:ascii="宋体" w:hAnsi="宋体"/>
          <w:kern w:val="0"/>
          <w:sz w:val="24"/>
          <w:lang w:eastAsia="zh-CN"/>
        </w:rPr>
        <w:t>中华人民共和国民法典</w:t>
      </w:r>
      <w:r>
        <w:rPr>
          <w:rFonts w:hint="eastAsia" w:ascii="宋体" w:hAnsi="宋体"/>
          <w:kern w:val="0"/>
          <w:sz w:val="24"/>
        </w:rPr>
        <w:t>》和《中华人民共和国政府采购法》</w:t>
      </w:r>
      <w:r>
        <w:rPr>
          <w:rFonts w:hint="eastAsia" w:ascii="宋体" w:hAnsi="宋体" w:eastAsia="宋体" w:cs="Times New Roman"/>
          <w:kern w:val="2"/>
          <w:sz w:val="24"/>
          <w:szCs w:val="24"/>
          <w:lang w:val="en-US" w:eastAsia="zh-CN" w:bidi="ar-SA"/>
        </w:rPr>
        <w:t>及相关法律法规的规定</w:t>
      </w:r>
      <w:r>
        <w:rPr>
          <w:rFonts w:hint="eastAsia" w:ascii="宋体" w:hAnsi="宋体"/>
          <w:kern w:val="0"/>
          <w:sz w:val="24"/>
        </w:rPr>
        <w:t>，甲方通过竞争性磋商采购</w:t>
      </w:r>
      <w:r>
        <w:rPr>
          <w:rFonts w:hint="eastAsia" w:ascii="宋体" w:hAnsi="宋体"/>
          <w:kern w:val="0"/>
          <w:sz w:val="24"/>
          <w:u w:val="single"/>
          <w:lang w:val="en-US" w:eastAsia="zh-CN"/>
        </w:rPr>
        <w:t xml:space="preserve">   </w:t>
      </w:r>
      <w:r>
        <w:rPr>
          <w:rFonts w:hint="eastAsia" w:ascii="宋体" w:hAnsi="宋体"/>
          <w:kern w:val="0"/>
          <w:sz w:val="24"/>
          <w:u w:val="single"/>
        </w:rPr>
        <w:t xml:space="preserve">（服务名称） </w:t>
      </w:r>
      <w:r>
        <w:rPr>
          <w:rFonts w:hint="eastAsia" w:ascii="宋体" w:hAnsi="宋体"/>
          <w:kern w:val="0"/>
          <w:sz w:val="24"/>
        </w:rPr>
        <w:t>，甲、乙双方在平等自愿原则下签订本合同，并共同遵守如下条款：</w:t>
      </w:r>
    </w:p>
    <w:p w14:paraId="43E7A372">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Times New Roman"/>
          <w:b/>
          <w:bCs/>
          <w:sz w:val="24"/>
          <w:lang w:val="en-US" w:eastAsia="zh-CN"/>
        </w:rPr>
      </w:pPr>
      <w:bookmarkStart w:id="0" w:name="_Toc193126879"/>
      <w:bookmarkStart w:id="1" w:name="_Toc194663916"/>
      <w:bookmarkStart w:id="2" w:name="_Toc193187095"/>
      <w:bookmarkStart w:id="3" w:name="_Toc188808831"/>
      <w:r>
        <w:rPr>
          <w:rFonts w:hint="eastAsia" w:ascii="宋体" w:hAnsi="宋体" w:eastAsia="宋体" w:cs="Times New Roman"/>
          <w:b/>
          <w:bCs/>
          <w:sz w:val="24"/>
          <w:lang w:val="en-US" w:eastAsia="zh-CN"/>
        </w:rPr>
        <w:t>1.合同价款</w:t>
      </w:r>
    </w:p>
    <w:p w14:paraId="14839F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Times New Roman"/>
          <w:sz w:val="24"/>
          <w:lang w:val="en-US" w:eastAsia="zh-CN"/>
        </w:rPr>
      </w:pPr>
      <w:r>
        <w:rPr>
          <w:rFonts w:hint="eastAsia" w:ascii="宋体" w:hAnsi="宋体" w:eastAsia="宋体" w:cs="Times New Roman"/>
          <w:sz w:val="24"/>
          <w:lang w:val="en-US" w:eastAsia="zh-CN"/>
        </w:rPr>
        <w:t>1.1合同总价：</w:t>
      </w:r>
      <w:r>
        <w:rPr>
          <w:rFonts w:hint="eastAsia" w:ascii="宋体" w:hAnsi="宋体" w:eastAsia="宋体" w:cs="Times New Roman"/>
          <w:sz w:val="24"/>
          <w:u w:val="single"/>
          <w:lang w:val="en-US" w:eastAsia="zh-CN"/>
        </w:rPr>
        <w:t xml:space="preserve">               </w:t>
      </w:r>
      <w:r>
        <w:rPr>
          <w:rFonts w:hint="eastAsia" w:ascii="宋体" w:hAnsi="宋体" w:eastAsia="宋体" w:cs="Times New Roman"/>
          <w:sz w:val="24"/>
          <w:u w:val="none"/>
          <w:lang w:val="en-US" w:eastAsia="zh-CN"/>
        </w:rPr>
        <w:t>，</w:t>
      </w:r>
      <w:r>
        <w:rPr>
          <w:rFonts w:hint="eastAsia" w:ascii="宋体" w:hAnsi="宋体" w:eastAsia="宋体" w:cs="Times New Roman"/>
          <w:sz w:val="24"/>
          <w:lang w:val="en-US" w:eastAsia="zh-CN"/>
        </w:rPr>
        <w:t>包括完成本项目所需的</w:t>
      </w:r>
      <w:r>
        <w:rPr>
          <w:rFonts w:hint="eastAsia" w:ascii="宋体" w:hAnsi="宋体" w:cs="Times New Roman"/>
          <w:sz w:val="24"/>
          <w:lang w:val="en-US" w:eastAsia="zh-CN"/>
        </w:rPr>
        <w:t>采</w:t>
      </w:r>
      <w:r>
        <w:rPr>
          <w:rFonts w:hint="eastAsia" w:ascii="宋体" w:hAnsi="宋体" w:eastAsia="宋体" w:cs="Times New Roman"/>
          <w:sz w:val="24"/>
          <w:lang w:val="en-US" w:eastAsia="zh-CN"/>
        </w:rPr>
        <w:t xml:space="preserve">样费、检验费、人工费、设备费、管理费、验收费、采购代理服务费、利润和税金等全部费用。             </w:t>
      </w:r>
    </w:p>
    <w:p w14:paraId="6B83496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1.2合同总价一次包死，不受市场价变化的影响。</w:t>
      </w:r>
    </w:p>
    <w:p w14:paraId="327F123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sz w:val="24"/>
          <w:u w:val="none"/>
          <w:lang w:val="en-US" w:eastAsia="zh-CN"/>
        </w:rPr>
      </w:pPr>
      <w:r>
        <w:rPr>
          <w:rFonts w:hint="eastAsia" w:ascii="宋体" w:hAnsi="宋体" w:eastAsia="宋体" w:cs="Times New Roman"/>
          <w:b/>
          <w:bCs/>
          <w:sz w:val="24"/>
          <w:lang w:val="en-US" w:eastAsia="zh-CN"/>
        </w:rPr>
        <w:t>2.结算</w:t>
      </w:r>
      <w:r>
        <w:rPr>
          <w:rFonts w:hint="eastAsia" w:ascii="宋体" w:hAnsi="宋体" w:eastAsia="宋体" w:cs="Times New Roman"/>
          <w:b/>
          <w:bCs/>
          <w:sz w:val="24"/>
        </w:rPr>
        <w:t>方式</w:t>
      </w:r>
      <w:r>
        <w:rPr>
          <w:rFonts w:hint="eastAsia" w:ascii="宋体" w:hAnsi="宋体" w:cs="Times New Roman"/>
          <w:b/>
          <w:bCs/>
          <w:sz w:val="24"/>
          <w:lang w:eastAsia="zh-CN"/>
        </w:rPr>
        <w:t>：</w:t>
      </w:r>
      <w:r>
        <w:rPr>
          <w:rFonts w:hint="eastAsia" w:ascii="宋体" w:hAnsi="宋体" w:eastAsia="宋体" w:cs="Times New Roman"/>
          <w:sz w:val="24"/>
          <w:u w:val="single"/>
          <w:lang w:val="en-US" w:eastAsia="zh-CN"/>
        </w:rPr>
        <w:t xml:space="preserve">                     </w:t>
      </w:r>
      <w:r>
        <w:rPr>
          <w:rFonts w:hint="eastAsia" w:hAnsi="宋体"/>
          <w:sz w:val="24"/>
          <w:szCs w:val="24"/>
        </w:rPr>
        <w:t>。</w:t>
      </w:r>
    </w:p>
    <w:p w14:paraId="442534B8">
      <w:pPr>
        <w:keepNext w:val="0"/>
        <w:keepLines w:val="0"/>
        <w:pageBreakBefore w:val="0"/>
        <w:widowControl w:val="0"/>
        <w:tabs>
          <w:tab w:val="left" w:pos="7875"/>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b/>
          <w:bCs/>
          <w:sz w:val="24"/>
          <w:lang w:eastAsia="zh-CN"/>
        </w:rPr>
      </w:pPr>
      <w:r>
        <w:rPr>
          <w:rFonts w:hint="eastAsia" w:ascii="宋体" w:hAnsi="宋体" w:eastAsia="宋体" w:cs="Times New Roman"/>
          <w:b/>
          <w:bCs/>
          <w:sz w:val="24"/>
          <w:lang w:val="en-US" w:eastAsia="zh-CN"/>
        </w:rPr>
        <w:t>3.服务期限及地点，抽检结果期限</w:t>
      </w:r>
      <w:r>
        <w:rPr>
          <w:rFonts w:hint="eastAsia" w:ascii="宋体" w:hAnsi="宋体"/>
          <w:b/>
          <w:bCs/>
          <w:sz w:val="24"/>
          <w:lang w:eastAsia="zh-CN"/>
        </w:rPr>
        <w:tab/>
      </w:r>
    </w:p>
    <w:p w14:paraId="06B4148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Times New Roman"/>
          <w:kern w:val="2"/>
          <w:sz w:val="24"/>
          <w:szCs w:val="24"/>
          <w:u w:val="single"/>
          <w:lang w:val="en-US" w:eastAsia="zh-CN" w:bidi="ar-SA"/>
        </w:rPr>
      </w:pPr>
      <w:r>
        <w:rPr>
          <w:rFonts w:hint="eastAsia" w:ascii="宋体" w:hAnsi="宋体" w:eastAsia="宋体" w:cs="Times New Roman"/>
          <w:kern w:val="2"/>
          <w:sz w:val="24"/>
          <w:szCs w:val="24"/>
          <w:lang w:val="en-US" w:eastAsia="zh-CN" w:bidi="ar-SA"/>
        </w:rPr>
        <w:t>3.1</w:t>
      </w:r>
      <w:r>
        <w:rPr>
          <w:rFonts w:hint="eastAsia" w:ascii="宋体" w:hAnsi="宋体" w:eastAsia="宋体" w:cs="Times New Roman"/>
          <w:sz w:val="24"/>
          <w:lang w:val="en-US" w:eastAsia="zh-CN"/>
        </w:rPr>
        <w:t>服务期限：</w:t>
      </w:r>
      <w:r>
        <w:rPr>
          <w:rFonts w:hint="eastAsia" w:ascii="宋体" w:hAnsi="宋体" w:eastAsia="宋体" w:cs="Times New Roman"/>
          <w:sz w:val="24"/>
          <w:u w:val="single"/>
          <w:lang w:val="en-US" w:eastAsia="zh-CN"/>
        </w:rPr>
        <w:t xml:space="preserve">                      </w:t>
      </w:r>
    </w:p>
    <w:p w14:paraId="397A834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Times New Roman"/>
          <w:kern w:val="2"/>
          <w:sz w:val="24"/>
          <w:szCs w:val="24"/>
          <w:u w:val="single"/>
          <w:lang w:val="en-US" w:eastAsia="zh-CN" w:bidi="ar-SA"/>
        </w:rPr>
      </w:pPr>
      <w:r>
        <w:rPr>
          <w:rFonts w:hint="eastAsia" w:ascii="宋体" w:hAnsi="宋体" w:eastAsia="宋体" w:cs="Times New Roman"/>
          <w:kern w:val="2"/>
          <w:sz w:val="24"/>
          <w:szCs w:val="24"/>
          <w:lang w:val="en-US" w:eastAsia="zh-CN" w:bidi="ar-SA"/>
        </w:rPr>
        <w:t>3.2</w:t>
      </w:r>
      <w:r>
        <w:rPr>
          <w:rFonts w:hint="eastAsia" w:ascii="宋体" w:hAnsi="宋体" w:eastAsia="宋体" w:cs="Times New Roman"/>
          <w:kern w:val="2"/>
          <w:sz w:val="24"/>
          <w:szCs w:val="24"/>
          <w:lang w:val="zh-CN" w:eastAsia="zh-CN" w:bidi="ar-SA"/>
        </w:rPr>
        <w:t>服务地点：</w:t>
      </w:r>
      <w:r>
        <w:rPr>
          <w:rFonts w:hint="eastAsia" w:ascii="宋体" w:hAnsi="宋体" w:eastAsia="宋体" w:cs="Times New Roman"/>
          <w:kern w:val="2"/>
          <w:sz w:val="24"/>
          <w:szCs w:val="24"/>
          <w:u w:val="single"/>
          <w:lang w:val="en-US" w:eastAsia="zh-CN" w:bidi="ar-SA"/>
        </w:rPr>
        <w:t xml:space="preserve">                       </w:t>
      </w:r>
    </w:p>
    <w:p w14:paraId="46744EDB">
      <w:pPr>
        <w:pStyle w:val="4"/>
        <w:keepNext w:val="0"/>
        <w:keepLines w:val="0"/>
        <w:pageBreakBefore w:val="0"/>
        <w:widowControl w:val="0"/>
        <w:kinsoku/>
        <w:wordWrap/>
        <w:overflowPunct/>
        <w:topLinePunct w:val="0"/>
        <w:autoSpaceDE/>
        <w:autoSpaceDN/>
        <w:bidi w:val="0"/>
        <w:spacing w:after="0" w:afterLines="0" w:line="360" w:lineRule="auto"/>
        <w:ind w:left="0" w:leftChars="0" w:firstLine="480" w:firstLineChars="200"/>
        <w:textAlignment w:val="auto"/>
        <w:rPr>
          <w:rFonts w:hint="eastAsia" w:ascii="宋体" w:hAnsi="宋体" w:eastAsia="宋体" w:cs="Times New Roman"/>
          <w:sz w:val="24"/>
          <w:lang w:val="en-US" w:eastAsia="zh-CN"/>
        </w:rPr>
      </w:pPr>
      <w:r>
        <w:rPr>
          <w:rFonts w:hint="eastAsia" w:ascii="宋体" w:hAnsi="宋体" w:eastAsia="宋体" w:cs="Times New Roman"/>
          <w:kern w:val="2"/>
          <w:sz w:val="24"/>
          <w:szCs w:val="24"/>
          <w:lang w:val="en-US" w:eastAsia="zh-CN" w:bidi="ar-SA"/>
        </w:rPr>
        <w:t>3.3抽检结果期限：</w:t>
      </w:r>
      <w:r>
        <w:rPr>
          <w:rFonts w:hint="eastAsia" w:ascii="宋体" w:hAnsi="宋体" w:eastAsia="宋体" w:cs="Times New Roman"/>
          <w:kern w:val="2"/>
          <w:sz w:val="24"/>
          <w:szCs w:val="24"/>
          <w:u w:val="single"/>
          <w:lang w:val="en-US" w:eastAsia="zh-CN" w:bidi="ar-SA"/>
        </w:rPr>
        <w:t xml:space="preserve">                    </w:t>
      </w:r>
      <w:bookmarkStart w:id="20" w:name="_GoBack"/>
      <w:bookmarkEnd w:id="20"/>
    </w:p>
    <w:p w14:paraId="4F1C06F5">
      <w:pPr>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default" w:ascii="宋体" w:hAnsi="宋体" w:eastAsia="宋体" w:cs="Times New Roman"/>
          <w:b/>
          <w:bCs/>
          <w:sz w:val="24"/>
          <w:lang w:val="en-US" w:eastAsia="zh-CN"/>
        </w:rPr>
      </w:pPr>
      <w:r>
        <w:rPr>
          <w:rFonts w:hint="eastAsia" w:ascii="宋体" w:hAnsi="宋体" w:eastAsia="宋体" w:cs="Times New Roman"/>
          <w:b/>
          <w:bCs/>
          <w:sz w:val="24"/>
          <w:lang w:val="en-US" w:eastAsia="zh-CN"/>
        </w:rPr>
        <w:t>4.</w:t>
      </w:r>
      <w:r>
        <w:rPr>
          <w:rFonts w:hint="default" w:ascii="宋体" w:hAnsi="宋体" w:eastAsia="宋体" w:cs="Times New Roman"/>
          <w:b/>
          <w:bCs/>
          <w:sz w:val="24"/>
          <w:lang w:val="en-US" w:eastAsia="zh-CN"/>
        </w:rPr>
        <w:t>质量标准及要求</w:t>
      </w:r>
    </w:p>
    <w:p w14:paraId="5AE46225">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default" w:ascii="宋体" w:hAnsi="宋体" w:eastAsia="宋体" w:cs="Times New Roman"/>
          <w:sz w:val="24"/>
          <w:lang w:val="en-US" w:eastAsia="zh-CN"/>
        </w:rPr>
      </w:pPr>
      <w:r>
        <w:rPr>
          <w:rFonts w:hint="eastAsia" w:ascii="宋体" w:hAnsi="宋体" w:eastAsia="宋体" w:cs="Times New Roman"/>
          <w:sz w:val="24"/>
          <w:lang w:val="en-US" w:eastAsia="zh-CN"/>
        </w:rPr>
        <w:t>4.1</w:t>
      </w:r>
      <w:r>
        <w:rPr>
          <w:rFonts w:hint="default" w:ascii="宋体" w:hAnsi="宋体" w:eastAsia="宋体" w:cs="Times New Roman"/>
          <w:sz w:val="24"/>
          <w:lang w:val="en-US" w:eastAsia="zh-CN"/>
        </w:rPr>
        <w:t>质量标准：依照检测样品的国家标准。对没有国家标准的，可按照地方标准、卫生标准、质量标准和相关的行业标准、企业标准、产品标签明示值或国家明文规定的限量值及国家指定的特定检验方法等进行检验。</w:t>
      </w:r>
    </w:p>
    <w:p w14:paraId="3C350409">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default" w:ascii="宋体" w:hAnsi="宋体" w:eastAsia="宋体" w:cs="Times New Roman"/>
          <w:sz w:val="24"/>
          <w:lang w:val="en-US" w:eastAsia="zh-CN"/>
        </w:rPr>
      </w:pPr>
      <w:r>
        <w:rPr>
          <w:rFonts w:hint="eastAsia" w:ascii="宋体" w:hAnsi="宋体" w:eastAsia="宋体" w:cs="Times New Roman"/>
          <w:sz w:val="24"/>
          <w:lang w:val="en-US" w:eastAsia="zh-CN"/>
        </w:rPr>
        <w:t>4.2</w:t>
      </w:r>
      <w:r>
        <w:rPr>
          <w:rFonts w:hint="default" w:ascii="宋体" w:hAnsi="宋体" w:eastAsia="宋体" w:cs="Times New Roman"/>
          <w:sz w:val="24"/>
          <w:lang w:val="en-US" w:eastAsia="zh-CN"/>
        </w:rPr>
        <w:t>质量要求：供应商要提高抽样靶向性，严格按照相关国家标准要求进行检测，并实施必要的质量控制措施。</w:t>
      </w:r>
    </w:p>
    <w:p w14:paraId="3325A24C">
      <w:pPr>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Times New Roman"/>
          <w:b/>
          <w:bCs/>
          <w:sz w:val="24"/>
          <w:lang w:val="en-US" w:eastAsia="zh-CN"/>
        </w:rPr>
      </w:pPr>
      <w:r>
        <w:rPr>
          <w:rFonts w:hint="eastAsia" w:ascii="宋体" w:hAnsi="宋体" w:eastAsia="宋体" w:cs="Times New Roman"/>
          <w:b/>
          <w:bCs/>
          <w:sz w:val="24"/>
          <w:lang w:val="en-US" w:eastAsia="zh-CN"/>
        </w:rPr>
        <w:t>5.合同组成</w:t>
      </w:r>
    </w:p>
    <w:p w14:paraId="433F7F5D">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成交</w:t>
      </w:r>
      <w:r>
        <w:rPr>
          <w:rFonts w:hint="eastAsia" w:ascii="宋体" w:hAnsi="宋体" w:eastAsia="宋体" w:cs="Times New Roman"/>
          <w:sz w:val="24"/>
        </w:rPr>
        <w:t>通知书</w:t>
      </w:r>
      <w:r>
        <w:rPr>
          <w:rFonts w:hint="eastAsia" w:ascii="宋体" w:hAnsi="宋体" w:eastAsia="宋体" w:cs="Times New Roman"/>
          <w:sz w:val="24"/>
          <w:lang w:eastAsia="zh-CN"/>
        </w:rPr>
        <w:t>、</w:t>
      </w:r>
      <w:r>
        <w:rPr>
          <w:rFonts w:hint="eastAsia" w:ascii="宋体" w:hAnsi="宋体" w:eastAsia="宋体" w:cs="Times New Roman"/>
          <w:sz w:val="24"/>
          <w:lang w:val="en-US" w:eastAsia="zh-CN"/>
        </w:rPr>
        <w:t>合同文件、竞争性</w:t>
      </w:r>
      <w:r>
        <w:rPr>
          <w:rFonts w:hint="eastAsia" w:ascii="宋体" w:hAnsi="宋体"/>
          <w:spacing w:val="-2"/>
          <w:kern w:val="0"/>
          <w:sz w:val="24"/>
          <w:lang w:val="en-US" w:eastAsia="zh-CN"/>
        </w:rPr>
        <w:t>磋商</w:t>
      </w:r>
      <w:r>
        <w:rPr>
          <w:rFonts w:hint="eastAsia" w:ascii="宋体" w:hAnsi="宋体" w:eastAsia="宋体" w:cs="Times New Roman"/>
          <w:sz w:val="24"/>
        </w:rPr>
        <w:t>文件</w:t>
      </w:r>
      <w:r>
        <w:rPr>
          <w:rFonts w:hint="eastAsia" w:ascii="宋体" w:hAnsi="宋体" w:eastAsia="宋体" w:cs="Times New Roman"/>
          <w:sz w:val="24"/>
          <w:lang w:eastAsia="zh-CN"/>
        </w:rPr>
        <w:t>、</w:t>
      </w:r>
      <w:r>
        <w:rPr>
          <w:rFonts w:hint="eastAsia" w:ascii="宋体" w:hAnsi="宋体"/>
          <w:spacing w:val="-2"/>
          <w:kern w:val="0"/>
          <w:sz w:val="24"/>
          <w:lang w:val="en-US" w:eastAsia="zh-CN"/>
        </w:rPr>
        <w:t>磋商</w:t>
      </w:r>
      <w:r>
        <w:rPr>
          <w:rFonts w:hint="eastAsia" w:ascii="宋体" w:hAnsi="宋体" w:eastAsia="宋体" w:cs="Times New Roman"/>
          <w:sz w:val="24"/>
          <w:lang w:val="en-US" w:eastAsia="zh-CN"/>
        </w:rPr>
        <w:t>响应</w:t>
      </w:r>
      <w:r>
        <w:rPr>
          <w:rFonts w:hint="eastAsia" w:ascii="宋体" w:hAnsi="宋体" w:eastAsia="宋体" w:cs="Times New Roman"/>
          <w:sz w:val="24"/>
        </w:rPr>
        <w:t>文件</w:t>
      </w:r>
      <w:r>
        <w:rPr>
          <w:rFonts w:hint="eastAsia" w:ascii="宋体" w:hAnsi="宋体" w:eastAsia="宋体" w:cs="Times New Roman"/>
          <w:sz w:val="24"/>
          <w:lang w:eastAsia="zh-CN"/>
        </w:rPr>
        <w:t>、</w:t>
      </w:r>
      <w:r>
        <w:rPr>
          <w:rFonts w:hint="eastAsia" w:ascii="宋体" w:hAnsi="宋体" w:eastAsia="宋体" w:cs="Times New Roman"/>
          <w:sz w:val="24"/>
        </w:rPr>
        <w:t>国家相关规范及标准</w:t>
      </w:r>
      <w:r>
        <w:rPr>
          <w:rFonts w:hint="eastAsia" w:ascii="宋体" w:hAnsi="宋体" w:eastAsia="宋体" w:cs="Times New Roman"/>
          <w:sz w:val="24"/>
          <w:lang w:val="en-US" w:eastAsia="zh-CN"/>
        </w:rPr>
        <w:t>等。</w:t>
      </w:r>
    </w:p>
    <w:p w14:paraId="327ED8DB">
      <w:pPr>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Times New Roman"/>
          <w:b/>
          <w:bCs/>
          <w:sz w:val="24"/>
          <w:lang w:val="en-US" w:eastAsia="zh-CN"/>
        </w:rPr>
      </w:pPr>
      <w:r>
        <w:rPr>
          <w:rFonts w:hint="eastAsia" w:ascii="宋体" w:hAnsi="宋体" w:eastAsia="宋体" w:cs="Times New Roman"/>
          <w:b/>
          <w:bCs/>
          <w:sz w:val="24"/>
          <w:lang w:val="en-US" w:eastAsia="zh-CN"/>
        </w:rPr>
        <w:t>6验收</w:t>
      </w:r>
    </w:p>
    <w:p w14:paraId="7F25D827">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6.1</w:t>
      </w:r>
      <w:r>
        <w:rPr>
          <w:rFonts w:hint="eastAsia" w:ascii="宋体" w:hAnsi="宋体" w:eastAsia="宋体" w:cs="Times New Roman"/>
          <w:sz w:val="24"/>
          <w:szCs w:val="24"/>
          <w:lang w:val="zh-CN"/>
        </w:rPr>
        <w:t>供应商抽样工作要留有照片资料，在抽检工作完成后随检验报告一同递交采购人，并只可向采购人报告检验结果，未经采购人同意供应商不得私自向社会或被检单位透漏抽检相关信息。所有检测工作完毕后，由采购人签发《验收合格单》。</w:t>
      </w:r>
      <w:r>
        <w:rPr>
          <w:rFonts w:hint="eastAsia" w:ascii="宋体" w:hAnsi="宋体" w:eastAsia="宋体" w:cs="Times New Roman"/>
          <w:sz w:val="24"/>
          <w:szCs w:val="24"/>
          <w:lang w:val="zh-CN"/>
        </w:rPr>
        <w:cr/>
      </w:r>
      <w:r>
        <w:rPr>
          <w:rFonts w:hint="eastAsia" w:ascii="宋体" w:hAnsi="宋体" w:eastAsia="宋体" w:cs="Times New Roman"/>
          <w:sz w:val="24"/>
          <w:szCs w:val="24"/>
          <w:lang w:val="zh-CN"/>
        </w:rPr>
        <w:t xml:space="preserve">   </w:t>
      </w:r>
      <w:r>
        <w:rPr>
          <w:rFonts w:hint="eastAsia" w:ascii="宋体" w:hAnsi="宋体" w:eastAsia="宋体" w:cs="Times New Roman"/>
          <w:sz w:val="24"/>
          <w:szCs w:val="24"/>
          <w:lang w:val="en-US" w:eastAsia="zh-CN"/>
        </w:rPr>
        <w:t>6.2</w:t>
      </w:r>
      <w:r>
        <w:rPr>
          <w:rFonts w:hint="eastAsia" w:ascii="宋体" w:hAnsi="宋体" w:eastAsia="宋体" w:cs="Times New Roman"/>
          <w:sz w:val="24"/>
          <w:szCs w:val="24"/>
          <w:lang w:val="zh-CN"/>
        </w:rPr>
        <w:t>验收不合格的成交单位，必须在接到通知后5个日历日内确保检验报告合格。若接到通知后7个日历日内验收仍不合格，采购人可提出索赔或取消与其签署的成交合同。</w:t>
      </w:r>
      <w:r>
        <w:rPr>
          <w:rFonts w:hint="eastAsia" w:ascii="宋体" w:hAnsi="宋体" w:eastAsia="宋体" w:cs="Times New Roman"/>
          <w:kern w:val="0"/>
          <w:sz w:val="24"/>
        </w:rPr>
        <w:t>采购代理机构将把成交资格授予评审排序下一名的成交供应商。</w:t>
      </w:r>
    </w:p>
    <w:p w14:paraId="669B1758">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6.3</w:t>
      </w:r>
      <w:r>
        <w:rPr>
          <w:rFonts w:hint="eastAsia" w:ascii="宋体" w:hAnsi="宋体" w:eastAsia="宋体" w:cs="Times New Roman"/>
          <w:sz w:val="24"/>
          <w:szCs w:val="24"/>
          <w:lang w:val="zh-CN"/>
        </w:rPr>
        <w:t>验收依据</w:t>
      </w:r>
    </w:p>
    <w:p w14:paraId="4F173834">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6.3.1</w:t>
      </w:r>
      <w:r>
        <w:rPr>
          <w:rFonts w:hint="eastAsia" w:ascii="宋体" w:hAnsi="宋体" w:eastAsia="宋体" w:cs="Times New Roman"/>
          <w:sz w:val="24"/>
          <w:szCs w:val="24"/>
          <w:lang w:val="zh-CN"/>
        </w:rPr>
        <w:t xml:space="preserve">合同文本及合同补充文件（条款）。 </w:t>
      </w:r>
    </w:p>
    <w:p w14:paraId="5AB8E217">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6.3.2</w:t>
      </w:r>
      <w:r>
        <w:rPr>
          <w:rFonts w:hint="eastAsia" w:ascii="宋体" w:hAnsi="宋体" w:eastAsia="宋体" w:cs="Times New Roman"/>
          <w:sz w:val="24"/>
          <w:szCs w:val="24"/>
          <w:lang w:val="zh-CN"/>
        </w:rPr>
        <w:t>竞争性磋商文件。</w:t>
      </w:r>
    </w:p>
    <w:p w14:paraId="2C9DD2B4">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6.3.3</w:t>
      </w:r>
      <w:r>
        <w:rPr>
          <w:rFonts w:hint="eastAsia" w:ascii="宋体" w:hAnsi="宋体" w:eastAsia="宋体" w:cs="Times New Roman"/>
          <w:sz w:val="24"/>
          <w:szCs w:val="24"/>
          <w:lang w:val="zh-CN"/>
        </w:rPr>
        <w:t>成交单位的响应文件。</w:t>
      </w:r>
    </w:p>
    <w:p w14:paraId="4D9CFBD0">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6.3.4</w:t>
      </w:r>
      <w:r>
        <w:rPr>
          <w:rFonts w:hint="eastAsia" w:ascii="宋体" w:hAnsi="宋体" w:eastAsia="宋体" w:cs="Times New Roman"/>
          <w:sz w:val="24"/>
          <w:szCs w:val="24"/>
          <w:lang w:val="zh-CN"/>
        </w:rPr>
        <w:t>相关的检验报告。</w:t>
      </w:r>
    </w:p>
    <w:p w14:paraId="3F3C88B4">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6.3.5</w:t>
      </w:r>
      <w:r>
        <w:rPr>
          <w:rFonts w:hint="eastAsia" w:ascii="宋体" w:hAnsi="宋体" w:eastAsia="宋体" w:cs="Times New Roman"/>
          <w:sz w:val="24"/>
          <w:szCs w:val="24"/>
          <w:lang w:val="zh-CN"/>
        </w:rPr>
        <w:t>国</w:t>
      </w:r>
      <w:r>
        <w:rPr>
          <w:rFonts w:hint="eastAsia" w:ascii="宋体" w:hAnsi="宋体" w:eastAsia="宋体" w:cs="Times New Roman"/>
          <w:sz w:val="24"/>
          <w:szCs w:val="24"/>
          <w:lang w:val="en-US" w:eastAsia="zh-CN"/>
        </w:rPr>
        <w:t>家或行业</w:t>
      </w:r>
      <w:r>
        <w:rPr>
          <w:rFonts w:hint="eastAsia" w:ascii="宋体" w:hAnsi="宋体" w:eastAsia="宋体" w:cs="Times New Roman"/>
          <w:sz w:val="24"/>
          <w:szCs w:val="24"/>
          <w:lang w:val="zh-CN"/>
        </w:rPr>
        <w:t>相应的标准、规范</w:t>
      </w:r>
      <w:r>
        <w:rPr>
          <w:rFonts w:hint="eastAsia" w:ascii="宋体" w:hAnsi="宋体" w:eastAsia="宋体" w:cs="Times New Roman"/>
          <w:sz w:val="24"/>
          <w:szCs w:val="24"/>
          <w:lang w:val="en-US" w:eastAsia="zh-CN"/>
        </w:rPr>
        <w:t>。</w:t>
      </w:r>
    </w:p>
    <w:p w14:paraId="45F9701A">
      <w:pPr>
        <w:pStyle w:val="5"/>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default" w:ascii="宋体" w:hAnsi="宋体" w:eastAsia="宋体" w:cs="Times New Roman"/>
          <w:b/>
          <w:bCs/>
          <w:sz w:val="24"/>
          <w:szCs w:val="24"/>
          <w:lang w:val="en-US" w:eastAsia="zh-CN"/>
        </w:rPr>
      </w:pPr>
      <w:r>
        <w:rPr>
          <w:rFonts w:hint="eastAsia" w:ascii="宋体" w:hAnsi="宋体" w:eastAsia="宋体" w:cs="Times New Roman"/>
          <w:b/>
          <w:bCs/>
          <w:sz w:val="24"/>
          <w:szCs w:val="24"/>
          <w:lang w:val="en-US" w:eastAsia="zh-CN"/>
        </w:rPr>
        <w:t>7.其他事项</w:t>
      </w:r>
    </w:p>
    <w:p w14:paraId="455F244C">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7.1</w:t>
      </w:r>
      <w:r>
        <w:rPr>
          <w:rFonts w:hint="eastAsia" w:ascii="宋体" w:hAnsi="宋体" w:eastAsia="宋体" w:cs="Times New Roman"/>
          <w:sz w:val="24"/>
          <w:szCs w:val="24"/>
          <w:lang w:val="zh-CN"/>
        </w:rPr>
        <w:t>成交单位不得在服务期间对项目管理人员进行更换，如遇特殊情况须经采购人同意；采购人发现项目管理人员工作不力时，有权提出更换人员，更换的人员必须及时到场。</w:t>
      </w:r>
    </w:p>
    <w:p w14:paraId="68781C13">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eastAsia="zh-CN"/>
        </w:rPr>
      </w:pPr>
      <w:r>
        <w:rPr>
          <w:rFonts w:hint="eastAsia" w:ascii="宋体" w:hAnsi="宋体" w:eastAsia="宋体" w:cs="Times New Roman"/>
          <w:sz w:val="24"/>
          <w:szCs w:val="24"/>
          <w:lang w:val="en-US" w:eastAsia="zh-CN"/>
        </w:rPr>
        <w:t>7.2</w:t>
      </w:r>
      <w:r>
        <w:rPr>
          <w:rFonts w:hint="eastAsia" w:ascii="宋体" w:hAnsi="宋体" w:eastAsia="宋体" w:cs="Times New Roman"/>
          <w:sz w:val="24"/>
          <w:szCs w:val="24"/>
          <w:lang w:val="zh-CN"/>
        </w:rPr>
        <w:t>负责检测机构不得将检验任务外包或分包给其他检测机构或其他实验室进行检验。</w:t>
      </w:r>
    </w:p>
    <w:p w14:paraId="639BE4C1">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7.3</w:t>
      </w:r>
      <w:r>
        <w:rPr>
          <w:rFonts w:hint="eastAsia" w:ascii="宋体" w:hAnsi="宋体" w:eastAsia="宋体" w:cs="Times New Roman"/>
          <w:sz w:val="24"/>
          <w:szCs w:val="24"/>
          <w:lang w:val="zh-CN"/>
        </w:rPr>
        <w:t>采购人有权利随时对供应商检验过程进行监督检查，若采购人对供应商检验人员或工作程序等有疑议，可向供应商提出申诉，并由供应商出具书面答复。若检测机构出具虚假、错误检验数据和结论，一经发现，采购人有权立即取消合作资格。</w:t>
      </w:r>
    </w:p>
    <w:p w14:paraId="0CBD577F">
      <w:pPr>
        <w:pStyle w:val="5"/>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Times New Roman"/>
          <w:b/>
          <w:bCs/>
          <w:sz w:val="24"/>
          <w:szCs w:val="24"/>
          <w:lang w:val="zh-CN"/>
        </w:rPr>
      </w:pPr>
      <w:r>
        <w:rPr>
          <w:rFonts w:hint="eastAsia" w:ascii="宋体" w:hAnsi="宋体" w:eastAsia="宋体" w:cs="Times New Roman"/>
          <w:b/>
          <w:bCs/>
          <w:sz w:val="24"/>
          <w:szCs w:val="24"/>
          <w:lang w:val="en-US" w:eastAsia="zh-CN"/>
        </w:rPr>
        <w:t>8.</w:t>
      </w:r>
      <w:r>
        <w:rPr>
          <w:rFonts w:hint="eastAsia" w:ascii="宋体" w:hAnsi="宋体" w:eastAsia="宋体" w:cs="Times New Roman"/>
          <w:b/>
          <w:bCs/>
          <w:sz w:val="24"/>
          <w:szCs w:val="24"/>
          <w:lang w:val="zh-CN"/>
        </w:rPr>
        <w:t>知识产权</w:t>
      </w:r>
    </w:p>
    <w:p w14:paraId="1735BDFB">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zh-CN"/>
        </w:rPr>
        <w:t>乙方应保证所提供的服务或其任何一部分均不会侵犯任何第三方的专利权、商标权或著作权。</w:t>
      </w:r>
    </w:p>
    <w:p w14:paraId="7C32CA19">
      <w:pPr>
        <w:pStyle w:val="5"/>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Times New Roman"/>
          <w:b/>
          <w:bCs/>
          <w:sz w:val="24"/>
          <w:szCs w:val="24"/>
          <w:lang w:val="zh-CN" w:eastAsia="zh-CN"/>
        </w:rPr>
      </w:pPr>
      <w:r>
        <w:rPr>
          <w:rFonts w:hint="eastAsia" w:ascii="宋体" w:hAnsi="宋体" w:eastAsia="宋体" w:cs="Times New Roman"/>
          <w:b/>
          <w:bCs/>
          <w:sz w:val="24"/>
          <w:szCs w:val="24"/>
          <w:lang w:val="en-US" w:eastAsia="zh-CN"/>
        </w:rPr>
        <w:t>9.</w:t>
      </w:r>
      <w:r>
        <w:rPr>
          <w:rFonts w:hint="eastAsia" w:ascii="宋体" w:hAnsi="宋体" w:eastAsia="宋体" w:cs="Times New Roman"/>
          <w:b/>
          <w:bCs/>
          <w:sz w:val="24"/>
          <w:szCs w:val="24"/>
          <w:lang w:val="zh-CN" w:eastAsia="zh-CN"/>
        </w:rPr>
        <w:t>无产权瑕疵条款</w:t>
      </w:r>
    </w:p>
    <w:p w14:paraId="762ED9C0">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zh-CN"/>
        </w:rPr>
        <w:t>乙方保证所提供的服务的所有权完全属于乙方且无任何抵押、查封等产权瑕疵。如有产权瑕疵的，视为乙方违约。乙方应负担由此而产生的一切损失。</w:t>
      </w:r>
    </w:p>
    <w:p w14:paraId="6659633F">
      <w:pPr>
        <w:pStyle w:val="5"/>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Times New Roman"/>
          <w:b/>
          <w:bCs/>
          <w:sz w:val="24"/>
          <w:szCs w:val="24"/>
          <w:lang w:val="zh-CN"/>
        </w:rPr>
      </w:pPr>
      <w:r>
        <w:rPr>
          <w:rFonts w:hint="eastAsia" w:ascii="宋体" w:hAnsi="宋体" w:eastAsia="宋体" w:cs="Times New Roman"/>
          <w:b/>
          <w:bCs/>
          <w:sz w:val="24"/>
          <w:szCs w:val="24"/>
          <w:lang w:val="en-US" w:eastAsia="zh-CN"/>
        </w:rPr>
        <w:t>10.</w:t>
      </w:r>
      <w:r>
        <w:rPr>
          <w:rFonts w:hint="eastAsia" w:ascii="宋体" w:hAnsi="宋体" w:eastAsia="宋体" w:cs="Times New Roman"/>
          <w:b/>
          <w:bCs/>
          <w:sz w:val="24"/>
          <w:szCs w:val="24"/>
          <w:lang w:val="zh-CN"/>
        </w:rPr>
        <w:t>甲方的权利和义务</w:t>
      </w:r>
    </w:p>
    <w:p w14:paraId="57CA52AB">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10.1</w:t>
      </w:r>
      <w:r>
        <w:rPr>
          <w:rFonts w:hint="eastAsia" w:ascii="宋体" w:hAnsi="宋体" w:eastAsia="宋体" w:cs="Times New Roman"/>
          <w:sz w:val="24"/>
          <w:szCs w:val="24"/>
          <w:lang w:val="zh-CN"/>
        </w:rPr>
        <w:t>甲方有权对合同规定范围内乙方的服务行为进行监督和检查，拥有监管权。有权定期核对乙方提供服务所配备的人员数量。对甲方认为不合理的部分有权下达整改通知书，并要求乙方限期整改。</w:t>
      </w:r>
    </w:p>
    <w:p w14:paraId="4EA2C497">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10.2</w:t>
      </w:r>
      <w:r>
        <w:rPr>
          <w:rFonts w:hint="eastAsia" w:ascii="宋体" w:hAnsi="宋体" w:eastAsia="宋体" w:cs="Times New Roman"/>
          <w:sz w:val="24"/>
          <w:szCs w:val="24"/>
          <w:lang w:val="zh-CN"/>
        </w:rPr>
        <w:t>甲方有权依据双方签订的考评办法对乙方提供的服务进行定期考评。当考评结果未达到标准时，有权依据考评办法约定的</w:t>
      </w:r>
      <w:r>
        <w:rPr>
          <w:rFonts w:hint="eastAsia" w:ascii="宋体" w:hAnsi="宋体" w:eastAsia="宋体" w:cs="Times New Roman"/>
          <w:sz w:val="24"/>
          <w:szCs w:val="24"/>
          <w:lang w:val="en-US" w:eastAsia="zh-CN"/>
        </w:rPr>
        <w:t>价格进行赔偿</w:t>
      </w:r>
      <w:r>
        <w:rPr>
          <w:rFonts w:hint="eastAsia" w:ascii="宋体" w:hAnsi="宋体" w:eastAsia="宋体" w:cs="Times New Roman"/>
          <w:sz w:val="24"/>
          <w:szCs w:val="24"/>
          <w:lang w:val="zh-CN"/>
        </w:rPr>
        <w:t>。</w:t>
      </w:r>
    </w:p>
    <w:p w14:paraId="72FAAE27">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10.3</w:t>
      </w:r>
      <w:r>
        <w:rPr>
          <w:rFonts w:hint="eastAsia" w:ascii="宋体" w:hAnsi="宋体" w:eastAsia="宋体" w:cs="Times New Roman"/>
          <w:sz w:val="24"/>
          <w:szCs w:val="24"/>
          <w:lang w:val="zh-CN"/>
        </w:rPr>
        <w:t>负责检查监督乙方管理工作的实施及制度的执行情况。</w:t>
      </w:r>
    </w:p>
    <w:p w14:paraId="44771A69">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10.4</w:t>
      </w:r>
      <w:r>
        <w:rPr>
          <w:rFonts w:hint="eastAsia" w:ascii="宋体" w:hAnsi="宋体" w:eastAsia="宋体" w:cs="Times New Roman"/>
          <w:sz w:val="24"/>
          <w:szCs w:val="24"/>
          <w:lang w:val="zh-CN"/>
        </w:rPr>
        <w:t>根据本合同规定，按时向乙方支付应付服务费用。</w:t>
      </w:r>
    </w:p>
    <w:p w14:paraId="56CA9575">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10.5</w:t>
      </w:r>
      <w:r>
        <w:rPr>
          <w:rFonts w:hint="eastAsia" w:ascii="宋体" w:hAnsi="宋体" w:eastAsia="宋体" w:cs="Times New Roman"/>
          <w:sz w:val="24"/>
          <w:szCs w:val="24"/>
          <w:lang w:val="zh-CN"/>
        </w:rPr>
        <w:t>国家法律、法规所规定由甲方承担的其它责任。</w:t>
      </w:r>
    </w:p>
    <w:p w14:paraId="3852B095">
      <w:pPr>
        <w:pStyle w:val="5"/>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Times New Roman"/>
          <w:b/>
          <w:bCs/>
          <w:sz w:val="24"/>
          <w:szCs w:val="24"/>
          <w:lang w:val="zh-CN"/>
        </w:rPr>
      </w:pPr>
      <w:r>
        <w:rPr>
          <w:rFonts w:hint="eastAsia" w:ascii="宋体" w:hAnsi="宋体" w:eastAsia="宋体" w:cs="Times New Roman"/>
          <w:b/>
          <w:bCs/>
          <w:sz w:val="24"/>
          <w:szCs w:val="24"/>
          <w:lang w:val="en-US" w:eastAsia="zh-CN"/>
        </w:rPr>
        <w:t>11.</w:t>
      </w:r>
      <w:r>
        <w:rPr>
          <w:rFonts w:hint="eastAsia" w:ascii="宋体" w:hAnsi="宋体" w:eastAsia="宋体" w:cs="Times New Roman"/>
          <w:b/>
          <w:bCs/>
          <w:sz w:val="24"/>
          <w:szCs w:val="24"/>
          <w:lang w:val="zh-CN"/>
        </w:rPr>
        <w:t>乙方的权利和义务</w:t>
      </w:r>
    </w:p>
    <w:p w14:paraId="600142D5">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11.1</w:t>
      </w:r>
      <w:r>
        <w:rPr>
          <w:rFonts w:hint="eastAsia" w:ascii="宋体" w:hAnsi="宋体" w:eastAsia="宋体" w:cs="Times New Roman"/>
          <w:sz w:val="24"/>
          <w:szCs w:val="24"/>
          <w:lang w:val="zh-CN"/>
        </w:rPr>
        <w:t>对本合同规定的委托服务范围内的项目享有管理权及服务义务。</w:t>
      </w:r>
    </w:p>
    <w:p w14:paraId="7951E450">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11.2</w:t>
      </w:r>
      <w:r>
        <w:rPr>
          <w:rFonts w:hint="eastAsia" w:ascii="宋体" w:hAnsi="宋体" w:eastAsia="宋体" w:cs="Times New Roman"/>
          <w:sz w:val="24"/>
          <w:szCs w:val="24"/>
          <w:lang w:val="zh-CN"/>
        </w:rPr>
        <w:t>根据本合同的规定向甲方收取相关服务费用，并有权在本项目管理范围内管理及合理使用。</w:t>
      </w:r>
    </w:p>
    <w:p w14:paraId="2E511CB3">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11.3</w:t>
      </w:r>
      <w:r>
        <w:rPr>
          <w:rFonts w:hint="eastAsia" w:ascii="宋体" w:hAnsi="宋体" w:eastAsia="宋体" w:cs="Times New Roman"/>
          <w:sz w:val="24"/>
          <w:szCs w:val="24"/>
          <w:lang w:val="zh-CN"/>
        </w:rPr>
        <w:t>及时向甲方通告本项目服务范围内有关服务的重大事项，及时配合处理投诉。</w:t>
      </w:r>
    </w:p>
    <w:p w14:paraId="5274D964">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11.4</w:t>
      </w:r>
      <w:r>
        <w:rPr>
          <w:rFonts w:hint="eastAsia" w:ascii="宋体" w:hAnsi="宋体" w:eastAsia="宋体" w:cs="Times New Roman"/>
          <w:sz w:val="24"/>
          <w:szCs w:val="24"/>
          <w:lang w:val="zh-CN"/>
        </w:rPr>
        <w:t>接受项目行业管理部门及政府有关部门的指导，接受甲方的监督。</w:t>
      </w:r>
    </w:p>
    <w:p w14:paraId="73D29CF5">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11.5</w:t>
      </w:r>
      <w:r>
        <w:rPr>
          <w:rFonts w:hint="eastAsia" w:ascii="宋体" w:hAnsi="宋体" w:eastAsia="宋体" w:cs="Times New Roman"/>
          <w:sz w:val="24"/>
          <w:szCs w:val="24"/>
          <w:lang w:val="zh-CN"/>
        </w:rPr>
        <w:t>国家法律、法规所规定由乙方承担的其它责任。</w:t>
      </w:r>
    </w:p>
    <w:p w14:paraId="334FA7B0">
      <w:pPr>
        <w:pStyle w:val="5"/>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Times New Roman"/>
          <w:b/>
          <w:bCs/>
          <w:sz w:val="24"/>
          <w:szCs w:val="24"/>
          <w:lang w:val="zh-CN"/>
        </w:rPr>
      </w:pPr>
      <w:r>
        <w:rPr>
          <w:rFonts w:hint="eastAsia" w:ascii="宋体" w:hAnsi="宋体" w:eastAsia="宋体" w:cs="Times New Roman"/>
          <w:b/>
          <w:bCs/>
          <w:sz w:val="24"/>
          <w:szCs w:val="24"/>
          <w:lang w:val="en-US" w:eastAsia="zh-CN"/>
        </w:rPr>
        <w:t>12.</w:t>
      </w:r>
      <w:r>
        <w:rPr>
          <w:rFonts w:hint="eastAsia" w:ascii="宋体" w:hAnsi="宋体" w:eastAsia="宋体" w:cs="Times New Roman"/>
          <w:b/>
          <w:bCs/>
          <w:sz w:val="24"/>
          <w:szCs w:val="24"/>
          <w:lang w:val="zh-CN"/>
        </w:rPr>
        <w:t xml:space="preserve"> 违约责任</w:t>
      </w:r>
    </w:p>
    <w:p w14:paraId="221075AA">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12.1</w:t>
      </w:r>
      <w:r>
        <w:rPr>
          <w:rFonts w:hint="eastAsia" w:ascii="宋体" w:hAnsi="宋体" w:eastAsia="宋体" w:cs="Times New Roman"/>
          <w:sz w:val="24"/>
          <w:szCs w:val="24"/>
          <w:lang w:val="zh-CN"/>
        </w:rPr>
        <w:t>甲乙双方必须遵守本合同并执行合同中的各项规定，保证本合同的正常履行。</w:t>
      </w:r>
    </w:p>
    <w:p w14:paraId="69916ED5">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12.2</w:t>
      </w:r>
      <w:r>
        <w:rPr>
          <w:rFonts w:hint="eastAsia" w:ascii="宋体" w:hAnsi="宋体" w:eastAsia="宋体" w:cs="Times New Roman"/>
          <w:sz w:val="24"/>
          <w:szCs w:val="24"/>
          <w:lang w:val="zh-CN"/>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90D1E0E">
      <w:pPr>
        <w:pStyle w:val="5"/>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Times New Roman"/>
          <w:b/>
          <w:bCs/>
          <w:sz w:val="24"/>
          <w:szCs w:val="24"/>
          <w:lang w:val="zh-CN"/>
        </w:rPr>
      </w:pPr>
      <w:r>
        <w:rPr>
          <w:rFonts w:hint="eastAsia" w:ascii="宋体" w:hAnsi="宋体" w:eastAsia="宋体" w:cs="Times New Roman"/>
          <w:b/>
          <w:bCs/>
          <w:sz w:val="24"/>
          <w:szCs w:val="24"/>
          <w:lang w:val="en-US" w:eastAsia="zh-CN"/>
        </w:rPr>
        <w:t>13.</w:t>
      </w:r>
      <w:r>
        <w:rPr>
          <w:rFonts w:hint="eastAsia" w:ascii="宋体" w:hAnsi="宋体" w:eastAsia="宋体" w:cs="Times New Roman"/>
          <w:b/>
          <w:bCs/>
          <w:sz w:val="24"/>
          <w:szCs w:val="24"/>
          <w:lang w:val="zh-CN"/>
        </w:rPr>
        <w:t>不可抗力事件处理</w:t>
      </w:r>
    </w:p>
    <w:p w14:paraId="60EC9F6E">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13.1</w:t>
      </w:r>
      <w:r>
        <w:rPr>
          <w:rFonts w:hint="eastAsia" w:ascii="宋体" w:hAnsi="宋体" w:eastAsia="宋体" w:cs="Times New Roman"/>
          <w:sz w:val="24"/>
          <w:szCs w:val="24"/>
          <w:lang w:val="zh-CN"/>
        </w:rPr>
        <w:t>在合同有效期内，任何一方因不可抗力事件导致不能履行合同，则合同履行期可延长，其延长期与不可抗力影响期相同。</w:t>
      </w:r>
    </w:p>
    <w:p w14:paraId="74714683">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13.2</w:t>
      </w:r>
      <w:r>
        <w:rPr>
          <w:rFonts w:hint="eastAsia" w:ascii="宋体" w:hAnsi="宋体" w:eastAsia="宋体" w:cs="Times New Roman"/>
          <w:sz w:val="24"/>
          <w:szCs w:val="24"/>
          <w:lang w:val="zh-CN"/>
        </w:rPr>
        <w:t>不可抗力事件发生后，应立即通知对方，并寄送有关权威机构出具的证明。</w:t>
      </w:r>
    </w:p>
    <w:p w14:paraId="4A462BFC">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13.3</w:t>
      </w:r>
      <w:r>
        <w:rPr>
          <w:rFonts w:hint="eastAsia" w:ascii="宋体" w:hAnsi="宋体" w:eastAsia="宋体" w:cs="Times New Roman"/>
          <w:sz w:val="24"/>
          <w:szCs w:val="24"/>
          <w:lang w:val="zh-CN"/>
        </w:rPr>
        <w:t>不可抗力事件延续</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u w:val="single"/>
          <w:lang w:val="en-US" w:eastAsia="zh-CN"/>
        </w:rPr>
        <w:t xml:space="preserve">  </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lang w:val="zh-CN"/>
        </w:rPr>
        <w:t>天以上，双方应通过友好协商，确定是否继续履行合同。</w:t>
      </w:r>
    </w:p>
    <w:p w14:paraId="55FDBAC9">
      <w:pPr>
        <w:pStyle w:val="5"/>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Times New Roman"/>
          <w:b/>
          <w:bCs/>
          <w:sz w:val="24"/>
          <w:szCs w:val="24"/>
          <w:lang w:val="zh-CN"/>
        </w:rPr>
      </w:pPr>
      <w:bookmarkStart w:id="4" w:name="_Toc251768867"/>
      <w:bookmarkStart w:id="5" w:name="_Toc286993792"/>
      <w:bookmarkStart w:id="6" w:name="_Toc247334846"/>
      <w:bookmarkStart w:id="7" w:name="_Toc239233919"/>
      <w:bookmarkStart w:id="8" w:name="_Toc185395254"/>
      <w:bookmarkStart w:id="9" w:name="_Toc237145411"/>
      <w:bookmarkStart w:id="10" w:name="_Toc241833908"/>
      <w:bookmarkStart w:id="11" w:name="_Toc225244857"/>
      <w:bookmarkStart w:id="12" w:name="_Toc232492933"/>
      <w:bookmarkStart w:id="13" w:name="_Toc212019599"/>
      <w:bookmarkStart w:id="14" w:name="_Toc211911353"/>
      <w:bookmarkStart w:id="15" w:name="_Toc225654649"/>
      <w:bookmarkStart w:id="16" w:name="_Toc239568423"/>
      <w:bookmarkStart w:id="17" w:name="_Toc225670756"/>
      <w:bookmarkStart w:id="18" w:name="_Toc211854454"/>
      <w:bookmarkStart w:id="19" w:name="_Toc238984980"/>
      <w:r>
        <w:rPr>
          <w:rFonts w:hint="eastAsia" w:ascii="宋体" w:hAnsi="宋体" w:eastAsia="宋体" w:cs="Times New Roman"/>
          <w:b/>
          <w:bCs/>
          <w:sz w:val="24"/>
          <w:szCs w:val="24"/>
          <w:lang w:val="en-US" w:eastAsia="zh-CN"/>
        </w:rPr>
        <w:t>14.</w:t>
      </w:r>
      <w:r>
        <w:rPr>
          <w:rFonts w:hint="eastAsia" w:ascii="宋体" w:hAnsi="宋体" w:eastAsia="宋体" w:cs="Times New Roman"/>
          <w:b/>
          <w:bCs/>
          <w:sz w:val="24"/>
          <w:szCs w:val="24"/>
          <w:lang w:val="zh-CN"/>
        </w:rPr>
        <w:t>解决合同纠纷的方式</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20283F62">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zh-CN"/>
        </w:rPr>
        <w:t xml:space="preserve">在执行本合同中发生的或与本合同有关的争端，双方应通过友好协商解决，经协商在   </w:t>
      </w:r>
      <w:r>
        <w:rPr>
          <w:rFonts w:hint="eastAsia" w:ascii="宋体" w:hAnsi="宋体" w:eastAsia="宋体" w:cs="Times New Roman"/>
          <w:sz w:val="24"/>
          <w:szCs w:val="24"/>
          <w:lang w:val="en-US" w:eastAsia="zh-CN"/>
        </w:rPr>
        <w:t xml:space="preserve"> </w:t>
      </w:r>
      <w:r>
        <w:rPr>
          <w:rFonts w:hint="eastAsia" w:ascii="宋体" w:hAnsi="宋体" w:eastAsia="宋体" w:cs="Times New Roman"/>
          <w:sz w:val="24"/>
          <w:szCs w:val="24"/>
          <w:lang w:val="zh-CN"/>
        </w:rPr>
        <w:t>天内不能达成协议时，则采取以下第</w:t>
      </w:r>
      <w:r>
        <w:rPr>
          <w:rFonts w:hint="eastAsia" w:ascii="宋体" w:hAnsi="宋体" w:eastAsia="宋体" w:cs="Times New Roman"/>
          <w:sz w:val="24"/>
          <w:szCs w:val="24"/>
          <w:u w:val="single"/>
          <w:lang w:val="en-US" w:eastAsia="zh-CN"/>
        </w:rPr>
        <w:t xml:space="preserve">  1  </w:t>
      </w:r>
      <w:r>
        <w:rPr>
          <w:rFonts w:hint="eastAsia" w:ascii="宋体" w:hAnsi="宋体" w:eastAsia="宋体" w:cs="Times New Roman"/>
          <w:sz w:val="24"/>
          <w:szCs w:val="24"/>
          <w:lang w:val="zh-CN"/>
        </w:rPr>
        <w:t>种方式解决争议：</w:t>
      </w:r>
    </w:p>
    <w:p w14:paraId="6F2F15C5">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w:t>
      </w:r>
      <w:r>
        <w:rPr>
          <w:rFonts w:hint="eastAsia" w:ascii="宋体" w:hAnsi="宋体" w:eastAsia="宋体" w:cs="Times New Roman"/>
          <w:sz w:val="24"/>
          <w:szCs w:val="24"/>
          <w:lang w:val="zh-CN"/>
        </w:rPr>
        <w:t>向甲方所在地有管辖权的人民法院提起诉讼；</w:t>
      </w:r>
    </w:p>
    <w:p w14:paraId="4A16DEC6">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2、</w:t>
      </w:r>
      <w:r>
        <w:rPr>
          <w:rFonts w:hint="eastAsia" w:ascii="宋体" w:hAnsi="宋体" w:eastAsia="宋体" w:cs="Times New Roman"/>
          <w:sz w:val="24"/>
          <w:szCs w:val="24"/>
          <w:lang w:val="zh-CN"/>
        </w:rPr>
        <w:t>向________仲裁委员会按其仲裁规则申请仲裁。</w:t>
      </w:r>
    </w:p>
    <w:p w14:paraId="5A39A302">
      <w:pPr>
        <w:pStyle w:val="5"/>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default" w:ascii="宋体" w:hAnsi="宋体" w:eastAsia="宋体" w:cs="Times New Roman"/>
          <w:b/>
          <w:bCs/>
          <w:sz w:val="24"/>
          <w:szCs w:val="24"/>
          <w:lang w:val="en-US" w:eastAsia="zh-CN"/>
        </w:rPr>
      </w:pPr>
      <w:r>
        <w:rPr>
          <w:rFonts w:hint="eastAsia" w:ascii="宋体" w:hAnsi="宋体" w:eastAsia="宋体" w:cs="Times New Roman"/>
          <w:b/>
          <w:bCs/>
          <w:sz w:val="24"/>
          <w:szCs w:val="24"/>
          <w:lang w:val="en-US" w:eastAsia="zh-CN"/>
        </w:rPr>
        <w:t>15.</w:t>
      </w:r>
      <w:r>
        <w:rPr>
          <w:rFonts w:hint="default" w:ascii="宋体" w:hAnsi="宋体" w:eastAsia="宋体" w:cs="Times New Roman"/>
          <w:b/>
          <w:bCs/>
          <w:sz w:val="24"/>
          <w:szCs w:val="24"/>
          <w:lang w:val="en-US" w:eastAsia="zh-CN"/>
        </w:rPr>
        <w:t>合同生效及其他</w:t>
      </w:r>
    </w:p>
    <w:p w14:paraId="71D208FC">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15.1</w:t>
      </w:r>
      <w:r>
        <w:rPr>
          <w:rFonts w:hint="eastAsia" w:ascii="宋体" w:hAnsi="宋体" w:eastAsia="宋体" w:cs="Times New Roman"/>
          <w:sz w:val="24"/>
          <w:szCs w:val="24"/>
          <w:lang w:val="zh-CN"/>
        </w:rPr>
        <w:t>合同经双方法定代表人或授权委托代理人签字并加盖单位公章后生效。</w:t>
      </w:r>
    </w:p>
    <w:p w14:paraId="2D13EC88">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15.2</w:t>
      </w:r>
      <w:r>
        <w:rPr>
          <w:rFonts w:hint="eastAsia" w:ascii="宋体" w:hAnsi="宋体" w:eastAsia="宋体" w:cs="Times New Roman"/>
          <w:sz w:val="24"/>
          <w:szCs w:val="24"/>
          <w:lang w:val="zh-CN"/>
        </w:rPr>
        <w:t>合同执行中涉及采购资金和采购内容修改或补充的，须经政府采购监管部门审批，并签书面补充协议报政府采购监督管理部门备案，方可作为主合同不可分割的一部分。</w:t>
      </w:r>
    </w:p>
    <w:p w14:paraId="120350B9">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15.3</w:t>
      </w:r>
      <w:r>
        <w:rPr>
          <w:rFonts w:hint="eastAsia" w:ascii="宋体" w:hAnsi="宋体" w:eastAsia="宋体" w:cs="Times New Roman"/>
          <w:sz w:val="24"/>
          <w:szCs w:val="24"/>
          <w:lang w:val="zh-CN"/>
        </w:rPr>
        <w:t>本合同一式</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u w:val="single"/>
          <w:lang w:val="en-US" w:eastAsia="zh-CN"/>
        </w:rPr>
        <w:t>伍</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lang w:val="zh-CN"/>
        </w:rPr>
        <w:t>份，自双方签章之日起</w:t>
      </w:r>
      <w:r>
        <w:rPr>
          <w:rFonts w:hint="eastAsia" w:ascii="宋体" w:hAnsi="宋体" w:eastAsia="宋体" w:cs="Times New Roman"/>
          <w:sz w:val="24"/>
          <w:szCs w:val="24"/>
          <w:lang w:val="en-US" w:eastAsia="zh-CN"/>
        </w:rPr>
        <w:t>生</w:t>
      </w:r>
      <w:r>
        <w:rPr>
          <w:rFonts w:hint="eastAsia" w:ascii="宋体" w:hAnsi="宋体" w:eastAsia="宋体" w:cs="Times New Roman"/>
          <w:sz w:val="24"/>
          <w:szCs w:val="24"/>
          <w:lang w:val="zh-CN"/>
        </w:rPr>
        <w:t>效。甲方</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u w:val="single"/>
          <w:lang w:val="en-US" w:eastAsia="zh-CN"/>
        </w:rPr>
        <w:t>贰</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lang w:val="zh-CN"/>
        </w:rPr>
        <w:t>份，乙方</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u w:val="single"/>
          <w:lang w:val="en-US" w:eastAsia="zh-CN"/>
        </w:rPr>
        <w:t>贰</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lang w:val="zh-CN"/>
        </w:rPr>
        <w:t>份，同级财政部门备案</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u w:val="single"/>
          <w:lang w:val="en-US" w:eastAsia="zh-CN"/>
        </w:rPr>
        <w:t>壹</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lang w:val="zh-CN"/>
        </w:rPr>
        <w:t>份，具有同等法律效力。</w:t>
      </w:r>
    </w:p>
    <w:p w14:paraId="335DCD4A">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p>
    <w:tbl>
      <w:tblPr>
        <w:tblStyle w:val="7"/>
        <w:tblW w:w="0" w:type="auto"/>
        <w:jc w:val="center"/>
        <w:tblLayout w:type="fixed"/>
        <w:tblCellMar>
          <w:top w:w="0" w:type="dxa"/>
          <w:left w:w="108" w:type="dxa"/>
          <w:bottom w:w="0" w:type="dxa"/>
          <w:right w:w="108" w:type="dxa"/>
        </w:tblCellMar>
      </w:tblPr>
      <w:tblGrid>
        <w:gridCol w:w="4201"/>
        <w:gridCol w:w="4202"/>
      </w:tblGrid>
      <w:tr w14:paraId="3E6CAC4F">
        <w:tblPrEx>
          <w:tblCellMar>
            <w:top w:w="0" w:type="dxa"/>
            <w:left w:w="108" w:type="dxa"/>
            <w:bottom w:w="0" w:type="dxa"/>
            <w:right w:w="108" w:type="dxa"/>
          </w:tblCellMar>
        </w:tblPrEx>
        <w:trPr>
          <w:trHeight w:val="567" w:hRule="exact"/>
          <w:jc w:val="center"/>
        </w:trPr>
        <w:tc>
          <w:tcPr>
            <w:tcW w:w="4201" w:type="dxa"/>
            <w:noWrap w:val="0"/>
            <w:vAlign w:val="center"/>
          </w:tcPr>
          <w:p w14:paraId="1D185FA8">
            <w:pPr>
              <w:autoSpaceDE w:val="0"/>
              <w:autoSpaceDN w:val="0"/>
              <w:adjustRightInd w:val="0"/>
              <w:spacing w:before="0" w:after="0" w:line="540" w:lineRule="exact"/>
              <w:rPr>
                <w:rFonts w:hint="eastAsia" w:ascii="宋体" w:hAnsi="宋体" w:eastAsia="宋体" w:cs="宋体"/>
                <w:sz w:val="24"/>
                <w:lang w:eastAsia="zh-CN"/>
              </w:rPr>
            </w:pPr>
            <w:r>
              <w:rPr>
                <w:rFonts w:hint="eastAsia" w:ascii="宋体" w:hAnsi="宋体" w:cs="宋体"/>
                <w:sz w:val="24"/>
              </w:rPr>
              <w:t>甲  方</w:t>
            </w:r>
            <w:r>
              <w:rPr>
                <w:rFonts w:hint="eastAsia" w:ascii="宋体" w:hAnsi="宋体" w:cs="宋体"/>
                <w:sz w:val="24"/>
                <w:lang w:eastAsia="zh-CN"/>
              </w:rPr>
              <w:t>：</w:t>
            </w:r>
          </w:p>
        </w:tc>
        <w:tc>
          <w:tcPr>
            <w:tcW w:w="4202" w:type="dxa"/>
            <w:noWrap w:val="0"/>
            <w:vAlign w:val="center"/>
          </w:tcPr>
          <w:p w14:paraId="6CF154F3">
            <w:pPr>
              <w:autoSpaceDE w:val="0"/>
              <w:autoSpaceDN w:val="0"/>
              <w:adjustRightInd w:val="0"/>
              <w:spacing w:before="0" w:after="0" w:line="540" w:lineRule="exact"/>
              <w:rPr>
                <w:rFonts w:hint="eastAsia" w:ascii="宋体" w:hAnsi="宋体" w:eastAsia="宋体" w:cs="宋体"/>
                <w:sz w:val="24"/>
                <w:lang w:eastAsia="zh-CN"/>
              </w:rPr>
            </w:pPr>
            <w:r>
              <w:rPr>
                <w:rFonts w:hint="eastAsia" w:ascii="宋体" w:hAnsi="宋体" w:cs="宋体"/>
                <w:sz w:val="24"/>
              </w:rPr>
              <w:t>乙  方</w:t>
            </w:r>
            <w:r>
              <w:rPr>
                <w:rFonts w:hint="eastAsia" w:ascii="宋体" w:hAnsi="宋体" w:cs="宋体"/>
                <w:sz w:val="24"/>
                <w:lang w:eastAsia="zh-CN"/>
              </w:rPr>
              <w:t>：</w:t>
            </w:r>
          </w:p>
        </w:tc>
      </w:tr>
      <w:tr w14:paraId="54DB8C16">
        <w:tblPrEx>
          <w:tblCellMar>
            <w:top w:w="0" w:type="dxa"/>
            <w:left w:w="108" w:type="dxa"/>
            <w:bottom w:w="0" w:type="dxa"/>
            <w:right w:w="108" w:type="dxa"/>
          </w:tblCellMar>
        </w:tblPrEx>
        <w:trPr>
          <w:trHeight w:val="567" w:hRule="exact"/>
          <w:jc w:val="center"/>
        </w:trPr>
        <w:tc>
          <w:tcPr>
            <w:tcW w:w="4201" w:type="dxa"/>
            <w:noWrap w:val="0"/>
            <w:vAlign w:val="center"/>
          </w:tcPr>
          <w:p w14:paraId="0FB05A69">
            <w:pPr>
              <w:autoSpaceDE w:val="0"/>
              <w:autoSpaceDN w:val="0"/>
              <w:adjustRightInd w:val="0"/>
              <w:spacing w:before="0" w:after="0" w:line="540" w:lineRule="exact"/>
              <w:ind w:firstLine="840" w:firstLineChars="350"/>
              <w:rPr>
                <w:rFonts w:hint="eastAsia" w:ascii="宋体" w:hAnsi="宋体" w:cs="宋体"/>
                <w:sz w:val="24"/>
              </w:rPr>
            </w:pPr>
            <w:r>
              <w:rPr>
                <w:rFonts w:hint="eastAsia" w:ascii="宋体" w:hAnsi="宋体" w:cs="宋体"/>
                <w:sz w:val="24"/>
              </w:rPr>
              <w:t>（盖章）</w:t>
            </w:r>
          </w:p>
        </w:tc>
        <w:tc>
          <w:tcPr>
            <w:tcW w:w="4202" w:type="dxa"/>
            <w:noWrap w:val="0"/>
            <w:vAlign w:val="center"/>
          </w:tcPr>
          <w:p w14:paraId="0039897D">
            <w:pPr>
              <w:autoSpaceDE w:val="0"/>
              <w:autoSpaceDN w:val="0"/>
              <w:adjustRightInd w:val="0"/>
              <w:spacing w:before="0" w:after="0" w:line="540" w:lineRule="exact"/>
              <w:ind w:firstLine="960" w:firstLineChars="400"/>
              <w:rPr>
                <w:rFonts w:hint="eastAsia" w:ascii="宋体" w:hAnsi="宋体" w:cs="宋体"/>
                <w:sz w:val="24"/>
              </w:rPr>
            </w:pPr>
            <w:r>
              <w:rPr>
                <w:rFonts w:hint="eastAsia" w:ascii="宋体" w:hAnsi="宋体" w:cs="宋体"/>
                <w:sz w:val="24"/>
              </w:rPr>
              <w:t>（盖章）</w:t>
            </w:r>
          </w:p>
        </w:tc>
      </w:tr>
      <w:tr w14:paraId="6E0600D2">
        <w:tblPrEx>
          <w:tblCellMar>
            <w:top w:w="0" w:type="dxa"/>
            <w:left w:w="108" w:type="dxa"/>
            <w:bottom w:w="0" w:type="dxa"/>
            <w:right w:w="108" w:type="dxa"/>
          </w:tblCellMar>
        </w:tblPrEx>
        <w:trPr>
          <w:trHeight w:val="567" w:hRule="exact"/>
          <w:jc w:val="center"/>
        </w:trPr>
        <w:tc>
          <w:tcPr>
            <w:tcW w:w="4201" w:type="dxa"/>
            <w:noWrap w:val="0"/>
            <w:vAlign w:val="center"/>
          </w:tcPr>
          <w:p w14:paraId="082E5181">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 xml:space="preserve">单位地址： </w:t>
            </w:r>
          </w:p>
        </w:tc>
        <w:tc>
          <w:tcPr>
            <w:tcW w:w="4202" w:type="dxa"/>
            <w:noWrap w:val="0"/>
            <w:vAlign w:val="center"/>
          </w:tcPr>
          <w:p w14:paraId="65D3E9D2">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单位地址：</w:t>
            </w:r>
          </w:p>
        </w:tc>
      </w:tr>
      <w:tr w14:paraId="7AD77BE3">
        <w:tblPrEx>
          <w:tblCellMar>
            <w:top w:w="0" w:type="dxa"/>
            <w:left w:w="108" w:type="dxa"/>
            <w:bottom w:w="0" w:type="dxa"/>
            <w:right w:w="108" w:type="dxa"/>
          </w:tblCellMar>
        </w:tblPrEx>
        <w:trPr>
          <w:trHeight w:val="567" w:hRule="exact"/>
          <w:jc w:val="center"/>
        </w:trPr>
        <w:tc>
          <w:tcPr>
            <w:tcW w:w="4201" w:type="dxa"/>
            <w:noWrap w:val="0"/>
            <w:vAlign w:val="center"/>
          </w:tcPr>
          <w:p w14:paraId="2679D012">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 xml:space="preserve">法定代表人： </w:t>
            </w:r>
          </w:p>
        </w:tc>
        <w:tc>
          <w:tcPr>
            <w:tcW w:w="4202" w:type="dxa"/>
            <w:noWrap w:val="0"/>
            <w:vAlign w:val="center"/>
          </w:tcPr>
          <w:p w14:paraId="03FC540D">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法定代表人：</w:t>
            </w:r>
          </w:p>
        </w:tc>
      </w:tr>
      <w:tr w14:paraId="2163F5D6">
        <w:tblPrEx>
          <w:tblCellMar>
            <w:top w:w="0" w:type="dxa"/>
            <w:left w:w="108" w:type="dxa"/>
            <w:bottom w:w="0" w:type="dxa"/>
            <w:right w:w="108" w:type="dxa"/>
          </w:tblCellMar>
        </w:tblPrEx>
        <w:trPr>
          <w:trHeight w:val="578" w:hRule="exact"/>
          <w:jc w:val="center"/>
        </w:trPr>
        <w:tc>
          <w:tcPr>
            <w:tcW w:w="4201" w:type="dxa"/>
            <w:noWrap w:val="0"/>
            <w:vAlign w:val="center"/>
          </w:tcPr>
          <w:p w14:paraId="606C758C">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被授权代表：</w:t>
            </w:r>
          </w:p>
        </w:tc>
        <w:tc>
          <w:tcPr>
            <w:tcW w:w="4202" w:type="dxa"/>
            <w:noWrap w:val="0"/>
            <w:vAlign w:val="center"/>
          </w:tcPr>
          <w:p w14:paraId="68CBBECE">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被授权代表：</w:t>
            </w:r>
          </w:p>
        </w:tc>
      </w:tr>
      <w:tr w14:paraId="308C27CF">
        <w:tblPrEx>
          <w:tblCellMar>
            <w:top w:w="0" w:type="dxa"/>
            <w:left w:w="108" w:type="dxa"/>
            <w:bottom w:w="0" w:type="dxa"/>
            <w:right w:w="108" w:type="dxa"/>
          </w:tblCellMar>
        </w:tblPrEx>
        <w:trPr>
          <w:trHeight w:val="567" w:hRule="exact"/>
          <w:jc w:val="center"/>
        </w:trPr>
        <w:tc>
          <w:tcPr>
            <w:tcW w:w="4201" w:type="dxa"/>
            <w:noWrap w:val="0"/>
            <w:vAlign w:val="center"/>
          </w:tcPr>
          <w:p w14:paraId="71B0682F">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电话：</w:t>
            </w:r>
          </w:p>
        </w:tc>
        <w:tc>
          <w:tcPr>
            <w:tcW w:w="4202" w:type="dxa"/>
            <w:noWrap w:val="0"/>
            <w:vAlign w:val="center"/>
          </w:tcPr>
          <w:p w14:paraId="47D7DAA7">
            <w:pPr>
              <w:autoSpaceDE w:val="0"/>
              <w:autoSpaceDN w:val="0"/>
              <w:adjustRightInd w:val="0"/>
              <w:spacing w:before="0" w:after="0" w:line="540" w:lineRule="exact"/>
              <w:ind w:left="720" w:hanging="720" w:hangingChars="300"/>
              <w:rPr>
                <w:rFonts w:hint="eastAsia" w:ascii="宋体" w:hAnsi="宋体" w:cs="宋体"/>
                <w:sz w:val="24"/>
              </w:rPr>
            </w:pPr>
            <w:r>
              <w:rPr>
                <w:rFonts w:hint="eastAsia" w:ascii="宋体" w:hAnsi="宋体" w:cs="宋体"/>
                <w:sz w:val="24"/>
              </w:rPr>
              <w:t>电话：</w:t>
            </w:r>
          </w:p>
        </w:tc>
      </w:tr>
      <w:tr w14:paraId="02298333">
        <w:tblPrEx>
          <w:tblCellMar>
            <w:top w:w="0" w:type="dxa"/>
            <w:left w:w="108" w:type="dxa"/>
            <w:bottom w:w="0" w:type="dxa"/>
            <w:right w:w="108" w:type="dxa"/>
          </w:tblCellMar>
        </w:tblPrEx>
        <w:trPr>
          <w:trHeight w:val="567" w:hRule="exact"/>
          <w:jc w:val="center"/>
        </w:trPr>
        <w:tc>
          <w:tcPr>
            <w:tcW w:w="4201" w:type="dxa"/>
            <w:noWrap w:val="0"/>
            <w:vAlign w:val="center"/>
          </w:tcPr>
          <w:p w14:paraId="3AAAE94B">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传真：</w:t>
            </w:r>
          </w:p>
        </w:tc>
        <w:tc>
          <w:tcPr>
            <w:tcW w:w="4202" w:type="dxa"/>
            <w:noWrap w:val="0"/>
            <w:vAlign w:val="center"/>
          </w:tcPr>
          <w:p w14:paraId="306F1F16">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传真：</w:t>
            </w:r>
          </w:p>
        </w:tc>
      </w:tr>
      <w:tr w14:paraId="27D971E1">
        <w:tblPrEx>
          <w:tblCellMar>
            <w:top w:w="0" w:type="dxa"/>
            <w:left w:w="108" w:type="dxa"/>
            <w:bottom w:w="0" w:type="dxa"/>
            <w:right w:w="108" w:type="dxa"/>
          </w:tblCellMar>
        </w:tblPrEx>
        <w:trPr>
          <w:trHeight w:val="567" w:hRule="exact"/>
          <w:jc w:val="center"/>
        </w:trPr>
        <w:tc>
          <w:tcPr>
            <w:tcW w:w="4201" w:type="dxa"/>
            <w:noWrap w:val="0"/>
            <w:vAlign w:val="center"/>
          </w:tcPr>
          <w:p w14:paraId="2ADCA0B9">
            <w:pPr>
              <w:autoSpaceDE w:val="0"/>
              <w:autoSpaceDN w:val="0"/>
              <w:adjustRightInd w:val="0"/>
              <w:spacing w:before="0" w:after="0" w:line="540" w:lineRule="exact"/>
              <w:rPr>
                <w:rFonts w:hint="eastAsia" w:ascii="宋体" w:hAnsi="宋体" w:cs="宋体"/>
                <w:sz w:val="24"/>
              </w:rPr>
            </w:pPr>
          </w:p>
        </w:tc>
        <w:tc>
          <w:tcPr>
            <w:tcW w:w="4202" w:type="dxa"/>
            <w:noWrap w:val="0"/>
            <w:vAlign w:val="center"/>
          </w:tcPr>
          <w:p w14:paraId="4096E673">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开户银行：</w:t>
            </w:r>
          </w:p>
        </w:tc>
      </w:tr>
      <w:tr w14:paraId="74AB8779">
        <w:tblPrEx>
          <w:tblCellMar>
            <w:top w:w="0" w:type="dxa"/>
            <w:left w:w="108" w:type="dxa"/>
            <w:bottom w:w="0" w:type="dxa"/>
            <w:right w:w="108" w:type="dxa"/>
          </w:tblCellMar>
        </w:tblPrEx>
        <w:trPr>
          <w:trHeight w:val="567" w:hRule="exact"/>
          <w:jc w:val="center"/>
        </w:trPr>
        <w:tc>
          <w:tcPr>
            <w:tcW w:w="4201" w:type="dxa"/>
            <w:noWrap w:val="0"/>
            <w:vAlign w:val="center"/>
          </w:tcPr>
          <w:p w14:paraId="0682A504">
            <w:pPr>
              <w:autoSpaceDE w:val="0"/>
              <w:autoSpaceDN w:val="0"/>
              <w:adjustRightInd w:val="0"/>
              <w:spacing w:before="0" w:after="0" w:line="540" w:lineRule="exact"/>
              <w:rPr>
                <w:rFonts w:hint="eastAsia" w:ascii="宋体" w:hAnsi="宋体" w:cs="宋体"/>
                <w:sz w:val="24"/>
              </w:rPr>
            </w:pPr>
          </w:p>
        </w:tc>
        <w:tc>
          <w:tcPr>
            <w:tcW w:w="4202" w:type="dxa"/>
            <w:noWrap w:val="0"/>
            <w:vAlign w:val="center"/>
          </w:tcPr>
          <w:p w14:paraId="0BA6B0C4">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账号：</w:t>
            </w:r>
          </w:p>
        </w:tc>
      </w:tr>
      <w:tr w14:paraId="7FB409B1">
        <w:tblPrEx>
          <w:tblCellMar>
            <w:top w:w="0" w:type="dxa"/>
            <w:left w:w="108" w:type="dxa"/>
            <w:bottom w:w="0" w:type="dxa"/>
            <w:right w:w="108" w:type="dxa"/>
          </w:tblCellMar>
        </w:tblPrEx>
        <w:trPr>
          <w:trHeight w:val="567" w:hRule="exact"/>
          <w:jc w:val="center"/>
        </w:trPr>
        <w:tc>
          <w:tcPr>
            <w:tcW w:w="4201" w:type="dxa"/>
            <w:noWrap w:val="0"/>
            <w:vAlign w:val="center"/>
          </w:tcPr>
          <w:p w14:paraId="3182BE01">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日期：</w:t>
            </w:r>
          </w:p>
        </w:tc>
        <w:tc>
          <w:tcPr>
            <w:tcW w:w="4202" w:type="dxa"/>
            <w:noWrap w:val="0"/>
            <w:vAlign w:val="center"/>
          </w:tcPr>
          <w:p w14:paraId="2FD407E2">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日期：</w:t>
            </w:r>
          </w:p>
        </w:tc>
      </w:tr>
    </w:tbl>
    <w:p w14:paraId="06B71A92">
      <w:pPr>
        <w:adjustRightInd w:val="0"/>
        <w:snapToGrid w:val="0"/>
        <w:spacing w:line="520" w:lineRule="exact"/>
        <w:rPr>
          <w:rFonts w:hint="eastAsia" w:ascii="宋体" w:hAnsi="宋体"/>
          <w:kern w:val="0"/>
          <w:sz w:val="24"/>
        </w:rPr>
      </w:pPr>
    </w:p>
    <w:bookmarkEnd w:id="0"/>
    <w:bookmarkEnd w:id="1"/>
    <w:bookmarkEnd w:id="2"/>
    <w:bookmarkEnd w:id="3"/>
    <w:p w14:paraId="153BEE31">
      <w:pPr>
        <w:pStyle w:val="5"/>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zh-CN"/>
        </w:rPr>
        <w:t>注：</w:t>
      </w:r>
      <w:r>
        <w:rPr>
          <w:rFonts w:hint="eastAsia" w:ascii="宋体" w:hAnsi="宋体" w:eastAsia="宋体" w:cs="Times New Roman"/>
          <w:sz w:val="24"/>
          <w:szCs w:val="24"/>
          <w:lang w:val="en-US" w:eastAsia="zh-CN"/>
        </w:rPr>
        <w:t>1.</w:t>
      </w:r>
      <w:r>
        <w:rPr>
          <w:rFonts w:hint="eastAsia" w:ascii="宋体" w:hAnsi="宋体" w:eastAsia="宋体" w:cs="Times New Roman"/>
          <w:sz w:val="24"/>
          <w:szCs w:val="24"/>
          <w:lang w:val="zh-CN"/>
        </w:rPr>
        <w:t>本合同只作为参考文本，合同具体内容及格式签订正式合同时，甲乙双方协商确定。</w:t>
      </w:r>
    </w:p>
    <w:p w14:paraId="0805AF6F">
      <w:r>
        <w:rPr>
          <w:rFonts w:hint="eastAsia" w:ascii="宋体" w:hAnsi="宋体" w:eastAsia="宋体" w:cs="Times New Roman"/>
          <w:sz w:val="24"/>
          <w:szCs w:val="24"/>
          <w:lang w:val="en-US" w:eastAsia="zh-CN"/>
        </w:rPr>
        <w:t>2.采购人应当自中标通知书发出之日起30日内与成交供应商签订合同，且在合同签订后2个工作日内将合同在陕西省政府采购网进行公示。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hZGRmZWNjZGIwMGI1OWQ5Y2FmMjZlOTgwMTJhOTAifQ=="/>
  </w:docVars>
  <w:rsids>
    <w:rsidRoot w:val="6C9649D2"/>
    <w:rsid w:val="148A626E"/>
    <w:rsid w:val="155B7462"/>
    <w:rsid w:val="16B66D42"/>
    <w:rsid w:val="418C7D85"/>
    <w:rsid w:val="5CDF428F"/>
    <w:rsid w:val="6C9649D2"/>
    <w:rsid w:val="7EF246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keepNext/>
      <w:keepLines/>
      <w:spacing w:before="340" w:beforeLines="0" w:after="330" w:afterLines="0" w:line="576" w:lineRule="auto"/>
      <w:outlineLvl w:val="0"/>
    </w:pPr>
    <w:rPr>
      <w:b/>
      <w:bCs/>
      <w:kern w:val="44"/>
      <w:sz w:val="44"/>
      <w:szCs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24" w:lineRule="auto"/>
    </w:pPr>
    <w:rPr>
      <w:color w:val="993300"/>
      <w:sz w:val="24"/>
      <w:szCs w:val="24"/>
    </w:rPr>
  </w:style>
  <w:style w:type="paragraph" w:styleId="4">
    <w:name w:val="Body Text Indent"/>
    <w:basedOn w:val="1"/>
    <w:qFormat/>
    <w:uiPriority w:val="0"/>
    <w:pPr>
      <w:spacing w:after="120" w:afterLines="0"/>
      <w:ind w:left="420" w:leftChars="200"/>
    </w:pPr>
  </w:style>
  <w:style w:type="paragraph" w:styleId="5">
    <w:name w:val="Plain Text"/>
    <w:basedOn w:val="1"/>
    <w:qFormat/>
    <w:uiPriority w:val="0"/>
    <w:rPr>
      <w:rFonts w:ascii="宋体" w:hAnsi="Courier New"/>
      <w:szCs w:val="20"/>
    </w:rPr>
  </w:style>
  <w:style w:type="paragraph" w:styleId="6">
    <w:name w:val="toc 1"/>
    <w:basedOn w:val="1"/>
    <w:next w:val="1"/>
    <w:qFormat/>
    <w:uiPriority w:val="39"/>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2284</Words>
  <Characters>2414</Characters>
  <Lines>0</Lines>
  <Paragraphs>0</Paragraphs>
  <TotalTime>28</TotalTime>
  <ScaleCrop>false</ScaleCrop>
  <LinksUpToDate>false</LinksUpToDate>
  <CharactersWithSpaces>2689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2024-06-26T09:42:00Z</dcterms:created>
  <dc:creator>寒扬</dc:creator>
  <cp:lastModifiedBy>Administrator</cp:lastModifiedBy>
  <dcterms:modified xsi:type="dcterms:W3CDTF">2025-10-23T01:19:47Z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D0A219DD256D4B6FB92A0408B6517016_11</vt:lpwstr>
  </property>
  <property fmtid="{D5CDD505-2E9C-101B-9397-08002B2CF9AE}" pid="4" name="KSOTemplateDocerSaveRecord">
    <vt:lpwstr>eyJoZGlkIjoiZTdhZGRmZWNjZGIwMGI1OWQ5Y2FmMjZlOTgwMTJhOTAiLCJ1c2VySWQiOiI5NzQ1OTg4NjgifQ==</vt:lpwstr>
  </property>
</Properties>
</file>