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版本号：LHZBZC2025165G20251114001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学生宿舍楼建设初步设计项目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LHZBZC2025165G</w:t>
      </w:r>
      <w:r>
        <w:br/>
      </w:r>
      <w:r>
        <w:br/>
      </w:r>
      <w:r>
        <w:br/>
      </w:r>
    </w:p>
    <w:p>
      <w:pPr>
        <w:pStyle w:val="null3"/>
        <w:jc w:val="center"/>
        <w:outlineLvl w:val="2"/>
      </w:pPr>
      <w:r>
        <w:rPr>
          <w:rFonts w:ascii="仿宋_GB2312" w:hAnsi="仿宋_GB2312" w:cs="仿宋_GB2312" w:eastAsia="仿宋_GB2312"/>
          <w:sz w:val="28"/>
          <w:b/>
        </w:rPr>
        <w:t>西安市长安区第六中学</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西安市长安区第六中学</w:t>
      </w:r>
      <w:r>
        <w:rPr>
          <w:rFonts w:ascii="仿宋_GB2312" w:hAnsi="仿宋_GB2312" w:cs="仿宋_GB2312" w:eastAsia="仿宋_GB2312"/>
        </w:rPr>
        <w:t>委托，拟对</w:t>
      </w:r>
      <w:r>
        <w:rPr>
          <w:rFonts w:ascii="仿宋_GB2312" w:hAnsi="仿宋_GB2312" w:cs="仿宋_GB2312" w:eastAsia="仿宋_GB2312"/>
        </w:rPr>
        <w:t>学生宿舍楼建设初步设计项目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LHZBZC2025165G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学生宿舍楼建设初步设计项目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西安市长安区第六中学学生宿舍楼建设项目主要建设内容为：新建9层学生宿舍楼项目,总建筑面积14292平方米。其中：地上建筑面积12842 平方米,设置264间四人宿舍,1层设门厅、前室、消防安防控制室等设备间，2-9层每层设宿舍33间；地下建筑面积1450平方米，设置人防区、消防水池等。配套建设给排水工程、暖通工程、电气工程、强弱电工程、消防工程等附属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采购包1（学生宿舍楼建设初步设计项目）：属于专门面向中小企业采购。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2、企业资质：供应商须具有建设行政主管部门核发的工程设计综合甲级资质或建筑行业设计乙级或建筑行业（建筑工程）乙级及以上资质；</w:t>
      </w:r>
    </w:p>
    <w:p>
      <w:pPr>
        <w:pStyle w:val="null3"/>
      </w:pPr>
      <w:r>
        <w:rPr>
          <w:rFonts w:ascii="仿宋_GB2312" w:hAnsi="仿宋_GB2312" w:cs="仿宋_GB2312" w:eastAsia="仿宋_GB2312"/>
        </w:rPr>
        <w:t>3、项目负责人：拟派项目设计负责人须具备国家一级注册建筑师执业资格，在本单位注册</w:t>
      </w:r>
    </w:p>
    <w:p>
      <w:pPr>
        <w:pStyle w:val="null3"/>
      </w:pPr>
      <w:r>
        <w:rPr>
          <w:rFonts w:ascii="仿宋_GB2312" w:hAnsi="仿宋_GB2312" w:cs="仿宋_GB2312" w:eastAsia="仿宋_GB2312"/>
        </w:rPr>
        <w:t>4、财务状况报告：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p>
      <w:pPr>
        <w:pStyle w:val="null3"/>
      </w:pPr>
      <w:r>
        <w:rPr>
          <w:rFonts w:ascii="仿宋_GB2312" w:hAnsi="仿宋_GB2312" w:cs="仿宋_GB2312" w:eastAsia="仿宋_GB2312"/>
        </w:rPr>
        <w:t>5、社保缴纳证明：提供自2025年01月01日至递交投标文件截止之日内任意一个月的社会保障资金缴存单据或社保机构开具的社会保险参保缴费情况证明。依法不需要缴纳社会保障资金的供应商应提供相关文件证明。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提供自2025年01月01日至递交投标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9、控股管理关系：提供直接控股和管理关系清单。若与其他投标人存在单位负责人为同一人或者存在直接控股、管理关系的，则磋商无效。</w:t>
      </w:r>
    </w:p>
    <w:p>
      <w:pPr>
        <w:pStyle w:val="null3"/>
      </w:pPr>
      <w:r>
        <w:rPr>
          <w:rFonts w:ascii="仿宋_GB2312" w:hAnsi="仿宋_GB2312" w:cs="仿宋_GB2312" w:eastAsia="仿宋_GB2312"/>
        </w:rPr>
        <w:t>10、本项目不接受联合体投标：供应商应提供《非联合体投标声明》，视为独立投标。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西安市长安区第六中学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西安市长安区引镇街道引镇北街23号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029-85886337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西安市未央区太华路与北二环十字东南角大明宫中央广场A座22层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81010100-32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代理服务费收费标准：1、采购代理服务费：招标代理服务费参照《招标代理服务收费管理暂行办法》计价格[2002]1980号文和发改价格[2011]534号，以中标价为基数计取代理服务费。 2、本项目类型为：服务。 3、采购代理服务费费币种为人民币。 4、采购代理服务费收取：单位名称：凌辉建设工程咨询有限公司 开户银行：招商银行西安南大街支行 账号：292083674310001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西安市长安区第六中学</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西安市长安区第六中学</w:t>
      </w:r>
      <w:r>
        <w:rPr>
          <w:rFonts w:ascii="仿宋_GB2312" w:hAnsi="仿宋_GB2312" w:cs="仿宋_GB2312" w:eastAsia="仿宋_GB2312"/>
        </w:rPr>
        <w:t>负责解释。除上述磋商文件内容，其他内容由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西安市长安区第六中学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联系人：高禧</w:t>
      </w:r>
    </w:p>
    <w:p>
      <w:pPr>
        <w:pStyle w:val="null3"/>
      </w:pPr>
      <w:r>
        <w:rPr>
          <w:rFonts w:ascii="仿宋_GB2312" w:hAnsi="仿宋_GB2312" w:cs="仿宋_GB2312" w:eastAsia="仿宋_GB2312"/>
        </w:rPr>
        <w:t>联系电话：81010100-32</w:t>
      </w:r>
    </w:p>
    <w:p>
      <w:pPr>
        <w:pStyle w:val="null3"/>
      </w:pPr>
      <w:r>
        <w:rPr>
          <w:rFonts w:ascii="仿宋_GB2312" w:hAnsi="仿宋_GB2312" w:cs="仿宋_GB2312" w:eastAsia="仿宋_GB2312"/>
        </w:rPr>
        <w:t>地址：西安市未央区太华路与北二环十字东南角大明宫中央广场A座22层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西安市长安区第六中学学生宿舍楼建设初步设计项目（具体详见采购需求）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西安市长安区第六中学学生宿舍楼建设初步设计项目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标的名称：西安市长安区第六中学学生宿舍楼建设初步设计项目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20"/>
              <w:jc w:val="both"/>
            </w:pPr>
            <w:r>
              <w:rPr>
                <w:rFonts w:ascii="仿宋_GB2312" w:hAnsi="仿宋_GB2312" w:cs="仿宋_GB2312" w:eastAsia="仿宋_GB2312"/>
                <w:sz w:val="21"/>
              </w:rPr>
              <w:t>西安市长安区第六中学学生宿舍楼建设项目主要建设内容为：新建</w:t>
            </w:r>
            <w:r>
              <w:rPr>
                <w:rFonts w:ascii="仿宋_GB2312" w:hAnsi="仿宋_GB2312" w:cs="仿宋_GB2312" w:eastAsia="仿宋_GB2312"/>
                <w:sz w:val="21"/>
              </w:rPr>
              <w:t>9层学生宿舍楼项目,总建筑面积 14292 平方米。其中：地上建筑面积12842 平方米,设置264间四人宿舍,1 层设门厅、前室、消防安防控制室等设备间，2-9层每层设宿舍33间；地下建筑面积1450平方米，设置人防区、消防水池等。配套建设给排水工程、暖通工程、电气工程、强弱电工程、消防工程等附属设施。</w:t>
            </w:r>
          </w:p>
          <w:p>
            <w:pPr>
              <w:pStyle w:val="null3"/>
              <w:jc w:val="both"/>
            </w:pPr>
            <w:r>
              <w:rPr>
                <w:rFonts w:ascii="仿宋_GB2312" w:hAnsi="仿宋_GB2312" w:cs="仿宋_GB2312" w:eastAsia="仿宋_GB2312"/>
                <w:sz w:val="24"/>
                <w:b/>
              </w:rPr>
              <w:t>二、项目要求</w:t>
            </w:r>
          </w:p>
          <w:p>
            <w:pPr>
              <w:pStyle w:val="null3"/>
              <w:ind w:firstLine="525"/>
              <w:jc w:val="both"/>
            </w:pPr>
            <w:r>
              <w:rPr>
                <w:rFonts w:ascii="仿宋_GB2312" w:hAnsi="仿宋_GB2312" w:cs="仿宋_GB2312" w:eastAsia="仿宋_GB2312"/>
                <w:sz w:val="21"/>
              </w:rPr>
              <w:t>2.1</w:t>
            </w:r>
            <w:r>
              <w:rPr>
                <w:rFonts w:ascii="仿宋_GB2312" w:hAnsi="仿宋_GB2312" w:cs="仿宋_GB2312" w:eastAsia="仿宋_GB2312"/>
                <w:sz w:val="21"/>
              </w:rPr>
              <w:t>本次服务主要内容包括：设计包含前期方案设计</w:t>
            </w:r>
            <w:r>
              <w:rPr>
                <w:rFonts w:ascii="仿宋_GB2312" w:hAnsi="仿宋_GB2312" w:cs="仿宋_GB2312" w:eastAsia="仿宋_GB2312"/>
                <w:sz w:val="21"/>
              </w:rPr>
              <w:t>及初步设计</w:t>
            </w:r>
            <w:r>
              <w:rPr>
                <w:rFonts w:ascii="仿宋_GB2312" w:hAnsi="仿宋_GB2312" w:cs="仿宋_GB2312" w:eastAsia="仿宋_GB2312"/>
                <w:sz w:val="21"/>
              </w:rPr>
              <w:t>等；所有成果文件必须符合国家相关规范、标准及采购人要求。</w:t>
            </w:r>
          </w:p>
          <w:p>
            <w:pPr>
              <w:pStyle w:val="null3"/>
              <w:ind w:firstLine="525"/>
              <w:jc w:val="both"/>
            </w:pPr>
            <w:r>
              <w:rPr>
                <w:rFonts w:ascii="仿宋_GB2312" w:hAnsi="仿宋_GB2312" w:cs="仿宋_GB2312" w:eastAsia="仿宋_GB2312"/>
                <w:sz w:val="21"/>
              </w:rPr>
              <w:t>2.2</w:t>
            </w:r>
            <w:r>
              <w:rPr>
                <w:rFonts w:ascii="仿宋_GB2312" w:hAnsi="仿宋_GB2312" w:cs="仿宋_GB2312" w:eastAsia="仿宋_GB2312"/>
                <w:sz w:val="21"/>
              </w:rPr>
              <w:t>设计要求：</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完成前期方案设计及</w:t>
            </w:r>
            <w:r>
              <w:rPr>
                <w:rFonts w:ascii="仿宋_GB2312" w:hAnsi="仿宋_GB2312" w:cs="仿宋_GB2312" w:eastAsia="仿宋_GB2312"/>
                <w:sz w:val="21"/>
              </w:rPr>
              <w:t>初步</w:t>
            </w:r>
            <w:r>
              <w:rPr>
                <w:rFonts w:ascii="仿宋_GB2312" w:hAnsi="仿宋_GB2312" w:cs="仿宋_GB2312" w:eastAsia="仿宋_GB2312"/>
                <w:sz w:val="21"/>
              </w:rPr>
              <w:t>设计，按采购人的需求进行设计。</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对采购人的审核修改意见进行修改、完善，保证其设计意图的最终实现。</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根据项目建设进度要求及时提供各阶段报审图纸，协助采购人进行报审工作，根据审查结果进行修改调整，直至审查通过，并最终向采购人提交正式的</w:t>
            </w:r>
            <w:r>
              <w:rPr>
                <w:rFonts w:ascii="仿宋_GB2312" w:hAnsi="仿宋_GB2312" w:cs="仿宋_GB2312" w:eastAsia="仿宋_GB2312"/>
                <w:sz w:val="21"/>
              </w:rPr>
              <w:t>初步设计</w:t>
            </w:r>
            <w:r>
              <w:rPr>
                <w:rFonts w:ascii="仿宋_GB2312" w:hAnsi="仿宋_GB2312" w:cs="仿宋_GB2312" w:eastAsia="仿宋_GB2312"/>
                <w:sz w:val="21"/>
              </w:rPr>
              <w:t>文件</w:t>
            </w:r>
            <w:r>
              <w:rPr>
                <w:rFonts w:ascii="仿宋_GB2312" w:hAnsi="仿宋_GB2312" w:cs="仿宋_GB2312" w:eastAsia="仿宋_GB2312"/>
                <w:sz w:val="21"/>
              </w:rPr>
              <w:t>及批复</w:t>
            </w:r>
            <w:r>
              <w:rPr>
                <w:rFonts w:ascii="仿宋_GB2312" w:hAnsi="仿宋_GB2312" w:cs="仿宋_GB2312" w:eastAsia="仿宋_GB2312"/>
                <w:sz w:val="21"/>
              </w:rPr>
              <w:t>。</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根据采购人要求，及时参加与设计有关的专题会，现场解决技术问题。</w:t>
            </w:r>
          </w:p>
          <w:p>
            <w:pPr>
              <w:pStyle w:val="null3"/>
              <w:ind w:firstLine="525"/>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提交的设计文件应符合现行规程、规范等要求，并应通过相关部门的审查</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2.3服务工期：10天</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质量要求：合格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供应商在磋商报价时，该项目响应总价不得超过项目最高限价，若响应总报价及各分项报价高于其各自最高限价的，其响应文件将按无效处理。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合同签订后，报告编制完成，取得项目批复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 3、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供应商须具有建设行政主管部门核发的工程设计综合甲级资质或建筑行业设计乙级或建筑行业（建筑工程）乙级及以上资质；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拟派项目设计负责人须具备国家一级注册建筑师执业资格，在本单位注册</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提供自2025年01月01日至递交投标文件截止之日内任意一个月的社会保障资金缴存单据或社保机构开具的社会保险参保缴费情况证明。依法不需要缴纳社会保障资金的供应商应提供相关文件证明。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提供自2025年01月01日至递交投标文件截止之日内已缴存任意一个月的依法缴纳税收的相关凭据，凭据应有税务机关或代收机关的公章或业务专用章。依法免税或无须缴纳税收的供应商，应提供相应证明文件。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竞争性磋商响应报价</w:t>
            </w:r>
          </w:p>
        </w:tc>
        <w:tc>
          <w:tcPr>
            <w:tcW w:type="dxa" w:w="3322"/>
          </w:tcPr>
          <w:p>
            <w:pPr>
              <w:pStyle w:val="null3"/>
            </w:pPr>
            <w:r>
              <w:rPr>
                <w:rFonts w:ascii="仿宋_GB2312" w:hAnsi="仿宋_GB2312" w:cs="仿宋_GB2312" w:eastAsia="仿宋_GB2312"/>
              </w:rPr>
              <w:t>未超过最高限价</w:t>
            </w:r>
          </w:p>
        </w:tc>
        <w:tc>
          <w:tcPr>
            <w:tcW w:type="dxa" w:w="1661"/>
          </w:tcPr>
          <w:p>
            <w:pPr>
              <w:pStyle w:val="null3"/>
            </w:pPr>
            <w:r>
              <w:rPr>
                <w:rFonts w:ascii="仿宋_GB2312" w:hAnsi="仿宋_GB2312" w:cs="仿宋_GB2312" w:eastAsia="仿宋_GB2312"/>
              </w:rPr>
              <w:t>标的清单 报价表 磋商报价表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磋商报价表 响应函 监狱企业的证明文件 供应商资格证明文件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项目理解及针对本项目的任务分析</w:t>
            </w:r>
          </w:p>
        </w:tc>
        <w:tc>
          <w:tcPr>
            <w:tcW w:type="dxa" w:w="2492"/>
          </w:tcPr>
          <w:p>
            <w:pPr>
              <w:pStyle w:val="null3"/>
            </w:pPr>
            <w:r>
              <w:rPr>
                <w:rFonts w:ascii="仿宋_GB2312" w:hAnsi="仿宋_GB2312" w:cs="仿宋_GB2312" w:eastAsia="仿宋_GB2312"/>
              </w:rPr>
              <w:t>1.评审内容 供应商描述对项目的理解及针对本项目的任务分析 2.评审标准 ①全面性：掌握项目各项工作要求，内容全面完善。 ②准确性：了解项目真实情况。 ③针对性：能够紧扣项目实际情况，内容科学合理； 3.赋分标准： ①供应商描述对项目的理解：每完全满足一项评审标准得2分，满分6分；有一项缺陷扣1分。 ②针对本项目的任务分析：每完全满足一项评审标准得2分，满分6分；有一项缺陷扣1分。 4.以上内容未提供得0分。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总体设计思路及方案</w:t>
            </w:r>
          </w:p>
        </w:tc>
        <w:tc>
          <w:tcPr>
            <w:tcW w:type="dxa" w:w="2492"/>
          </w:tcPr>
          <w:p>
            <w:pPr>
              <w:pStyle w:val="null3"/>
            </w:pPr>
            <w:r>
              <w:rPr>
                <w:rFonts w:ascii="仿宋_GB2312" w:hAnsi="仿宋_GB2312" w:cs="仿宋_GB2312" w:eastAsia="仿宋_GB2312"/>
              </w:rPr>
              <w:t>1.评审内容 供应商描述总体设计思路及方案 2.评审标准 ①可实施性：实施步骤清晰、计划合理，可实施性强。 ②合理性：切合本项目实际情况，设计合理。 ③针对性：能够紧扣项目实际情况，内容科学合理； ④全面性：内容全面完善，各专业考虑周全。 3.赋分标准： ①总体设计思路：每完全满足一项评审标准得2分，满分8分；有一项缺陷扣1分。 ②设计方案：每完全满足一项评审标准得2分，满分8分；有一项缺陷扣1分。 4.以上内容未提供得0分。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1.评审内容 供应商提供本项目人员配备措施包括①人员组织架构②岗位设置 2.评审标准 ①可实施性：实施步骤清晰、计划合理，可实施性强。 ②合理性：切合本项目实际情况，合理可行。 3.赋分标准： ①人员组织架构：每完全满足一项评审标准得2分，满分4分；有一项缺陷扣1分。 ②岗位设置：每完全满足一项评审标准得3分，满分6分；有一项缺陷扣1分。 以上内容未提供得0分。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1.评审内容 进度计划及保障措施 2.评审标准 ①可实施性：实施步骤清晰、计划合理，可实施性强。 ②合理性：切合本项目实际情况，合理可行。 3.赋分标准： ①进度计划：每完全满足一项评审标准得2分，满分4分；有一项缺陷扣1分。 ②保障措施：每完全满足一项评审标准得2分，满分4分；有一项缺陷扣1分。 4.以上内容未提供得0分。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质量保障措施 2.评审标准 ①可实施性：实施步骤清晰、计划合理，可实施性强。 ②合理性：切合本项目实际情况，合理可行。 3.赋分标准： 每完全满足一项评审标准得4分，满分8分；有一项缺陷扣1分。 4.以上内容未提供得0分。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1.评审内容 供应商提供针对本项目的设计工作重点、难点分析及解决措施。 2.评审标准 （1）完整性：方案须全面，对评审内容中的要求有详细描述及说明； （2）可实施性：切合本项目实际情况，实施步骤清晰、合理； （3）针对性：方案能够紧扣项目实际情况，内容科学合理。 3.赋分标准（满分9分）：每完全满足一项评审标准得3分；有一项缺陷扣1分。 4.以上内容未提供得0分。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1.评审内容 为更好的服务于本项目，供应商提出适用本项目设计阶段工程造价控制措施：①对本项目服务工作中的常见问题进行梳理；②针对问题提供的的造价控制措施。 2.评审标准： ①可实施性：切合本项目实际情况，分析全面； ②针对性：控制措施能够紧扣项目实际情况，内容科学合理； 3.赋分标准： ①常见问题进行梳理：每完全满足一个评审标准得2分，满分4分；有一项缺陷扣1分。 ②造价控制措施:每完全满足一个评审标准得3分，满分6分；有一项缺陷扣1分。 4.以上内容未提供得0分。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供应商提供针对本项目的服务承诺。 2.评审标准 （1）完整性：方案须全面，对评审内容中的要求有详细描述及说明； （2）可实施性：切合本项目实际情况，实施步骤清晰、合理； （3）针对性：方案能够紧扣项目实际情况，内容科学合理。 3.赋分标准（满分6分）：每完全满足一项评审标准得2分；有一项缺陷扣1分。 4.以上内容未提供得0分。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日至今类似项目业绩（建设工程设计），1个得3分，最高6分。（以合同或协议签订日期为准，响应文件中附加盖公章的合同或协议复印件，否则不作为评审依据）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详见附件：设计合同最终.docx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