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版本号：KHXM-ZB-253720251201002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长安区生活垃圾分类公园利用改造项目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KHXM-ZB-2537</w:t>
      </w:r>
      <w:r>
        <w:br/>
      </w:r>
      <w:r>
        <w:br/>
      </w:r>
      <w:r>
        <w:br/>
      </w:r>
    </w:p>
    <w:p>
      <w:pPr>
        <w:pStyle w:val="null3"/>
        <w:jc w:val="center"/>
        <w:outlineLvl w:val="2"/>
      </w:pPr>
      <w:r>
        <w:rPr>
          <w:rFonts w:ascii="仿宋_GB2312" w:hAnsi="仿宋_GB2312" w:cs="仿宋_GB2312" w:eastAsia="仿宋_GB2312"/>
          <w:sz w:val="28"/>
          <w:b/>
        </w:rPr>
        <w:t>西安市长安区城市管理和综合执法局</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西安市长安区城市管理和综合执法局</w:t>
      </w:r>
      <w:r>
        <w:rPr>
          <w:rFonts w:ascii="仿宋_GB2312" w:hAnsi="仿宋_GB2312" w:cs="仿宋_GB2312" w:eastAsia="仿宋_GB2312"/>
        </w:rPr>
        <w:t>委托，拟对</w:t>
      </w:r>
      <w:r>
        <w:rPr>
          <w:rFonts w:ascii="仿宋_GB2312" w:hAnsi="仿宋_GB2312" w:cs="仿宋_GB2312" w:eastAsia="仿宋_GB2312"/>
        </w:rPr>
        <w:t>长安区生活垃圾分类公园利用改造项目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KHXM-ZB-2537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长安区生活垃圾分类公园利用改造项目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本工程为长安区生活垃圾分类公园利用改造项目，1、室外土建工程：室外停车场、围墙护栏、室外坡道及出入口改造，新增公园主题标牌内容等； 2、给排水工程：管道、阀门、水表的安装等内容； 3、弱电工程：a.安防系统：配管、配线、光缆的敷设及摄像机、交换机的安装等内容；b.停车厂管理系统：配管、配线的敷设及出入口控制设备的安装等内容；c.安保室内设备的安装 4、室外照明增加庭院灯、庭院灯基础开挖及回填；庭院灯电缆、预留电动车充电桩电源，电缆沟开挖回填；室外排水增加雨水管、雨水井、雨水口、管道开挖回填；室外给水增加PE给水管、户内水表后入户给水PE支管、水表箱（包含智能水表+止回阀+球阀+泄压阀）、闸阀井、管道开挖回填。具体详见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采购包1（长安区生活垃圾分类公园利用改造项目）：属于专门面向中小企业采购。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1、法定代表人授权书：法定代表人授权书（附法定代表人、被授权人身份证复印件加盖公章）及被授权人身份证原件（法定代表人直接参加磋商，须提供法定代表人身份证明及身份证复印件加盖公章）</w:t>
      </w:r>
    </w:p>
    <w:p>
      <w:pPr>
        <w:pStyle w:val="null3"/>
      </w:pPr>
      <w:r>
        <w:rPr>
          <w:rFonts w:ascii="仿宋_GB2312" w:hAnsi="仿宋_GB2312" w:cs="仿宋_GB2312" w:eastAsia="仿宋_GB2312"/>
        </w:rPr>
        <w:t>2、供应商须为具有独立承担民事责任能力的法人、其他组织或自然人，并出具合法有效的营业执照或事业单位法人证书等国家规定的相关证明，自然人参与的提供其身份证明：供应商须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7、企业资质：供应商须具备建筑工程施工总承包三级及以上资质，并具有有效的安全生产许可证</w:t>
      </w:r>
    </w:p>
    <w:p>
      <w:pPr>
        <w:pStyle w:val="null3"/>
      </w:pPr>
      <w:r>
        <w:rPr>
          <w:rFonts w:ascii="仿宋_GB2312" w:hAnsi="仿宋_GB2312" w:cs="仿宋_GB2312" w:eastAsia="仿宋_GB2312"/>
        </w:rPr>
        <w:t>8、供应商须提供具有履行合同所必需的设备和专业技术能力的承诺函：供应商须提供具有履行合同所必需的设备和专业技术能力的承诺函</w:t>
      </w:r>
    </w:p>
    <w:p>
      <w:pPr>
        <w:pStyle w:val="null3"/>
      </w:pPr>
      <w:r>
        <w:rPr>
          <w:rFonts w:ascii="仿宋_GB2312" w:hAnsi="仿宋_GB2312" w:cs="仿宋_GB2312" w:eastAsia="仿宋_GB2312"/>
        </w:rPr>
        <w:t>9、项目经理资质：拟派项目经理须具备建筑工程专业二级及以上建造师资格,并具有有效的安全生产考核合格证书（建安B证），且未担任其他在建工程项目的项目经理</w:t>
      </w:r>
    </w:p>
    <w:p>
      <w:pPr>
        <w:pStyle w:val="null3"/>
      </w:pPr>
      <w:r>
        <w:rPr>
          <w:rFonts w:ascii="仿宋_GB2312" w:hAnsi="仿宋_GB2312" w:cs="仿宋_GB2312" w:eastAsia="仿宋_GB2312"/>
        </w:rPr>
        <w:t>10、声明函：本项目专门面向中小企业采购，供应商须为中小企业。供应商为中小企业的，应提供《中小企业声明函》；供应商为残疾人福利性单位的，应提供《残疾人福利性单位声明函》；供应商为监狱企业的，应提供《监狱企业证明函》</w:t>
      </w:r>
    </w:p>
    <w:p>
      <w:pPr>
        <w:pStyle w:val="null3"/>
      </w:pPr>
      <w:r>
        <w:rPr>
          <w:rFonts w:ascii="仿宋_GB2312" w:hAnsi="仿宋_GB2312" w:cs="仿宋_GB2312" w:eastAsia="仿宋_GB2312"/>
        </w:rPr>
        <w:t>11、本项目不接受联合体磋商：本项目不接受联合体磋商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西安市长安区西长安街52号西北饭店中门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海工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02985656023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朱列秀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15029944822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1.代理服务费用收取对象：中标/成交供应商 代理服务费收费标准：代理服务费参照国家发展计划委员会“计价格【2002】1980号”文件、“发改办价格【2003】857号”文件和国家发展改革委“发改价格【2011】534号”文件规定下浮20%计取；待确定成交人后3日内由成交人一次性支付给采购代理机构。 2.收款账户信息： 户名：西安昆衡项目管理有限公司 开户银行：中国银行西安长安区樊川路支行 银行账号：103290501162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西安市长安区城市管理和综合执法局</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联系人：朱列秀</w:t>
      </w:r>
    </w:p>
    <w:p>
      <w:pPr>
        <w:pStyle w:val="null3"/>
      </w:pPr>
      <w:r>
        <w:rPr>
          <w:rFonts w:ascii="仿宋_GB2312" w:hAnsi="仿宋_GB2312" w:cs="仿宋_GB2312" w:eastAsia="仿宋_GB2312"/>
        </w:rPr>
        <w:t>联系电话：15029944822</w:t>
      </w:r>
    </w:p>
    <w:p>
      <w:pPr>
        <w:pStyle w:val="null3"/>
      </w:pPr>
      <w:r>
        <w:rPr>
          <w:rFonts w:ascii="仿宋_GB2312" w:hAnsi="仿宋_GB2312" w:cs="仿宋_GB2312" w:eastAsia="仿宋_GB2312"/>
        </w:rPr>
        <w:t>地址： 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449,083.07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长安区生活垃圾分类公园利用改造项目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标的名称：长安区生活垃圾分类公园利用改造项目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81"/>
              <w:jc w:val="both"/>
            </w:pPr>
            <w:r>
              <w:rPr>
                <w:rFonts w:ascii="仿宋_GB2312" w:hAnsi="仿宋_GB2312" w:cs="仿宋_GB2312" w:eastAsia="仿宋_GB2312"/>
                <w:sz w:val="28"/>
                <w:b/>
                <w:color w:val="0C0C0C"/>
              </w:rPr>
              <w:t>一、</w:t>
            </w:r>
            <w:r>
              <w:rPr>
                <w:rFonts w:ascii="仿宋_GB2312" w:hAnsi="仿宋_GB2312" w:cs="仿宋_GB2312" w:eastAsia="仿宋_GB2312"/>
                <w:sz w:val="28"/>
                <w:b/>
                <w:color w:val="0C0C0C"/>
              </w:rPr>
              <w:t>工程概况：</w:t>
            </w:r>
          </w:p>
          <w:p>
            <w:pPr>
              <w:pStyle w:val="null3"/>
              <w:ind w:firstLine="560"/>
              <w:jc w:val="left"/>
            </w:pPr>
            <w:r>
              <w:rPr>
                <w:rFonts w:ascii="仿宋_GB2312" w:hAnsi="仿宋_GB2312" w:cs="仿宋_GB2312" w:eastAsia="仿宋_GB2312"/>
                <w:sz w:val="28"/>
              </w:rPr>
              <w:t>工程名称：西安市长安区垃圾分类主题公园项目</w:t>
            </w:r>
          </w:p>
          <w:p>
            <w:pPr>
              <w:pStyle w:val="null3"/>
              <w:ind w:firstLine="560"/>
              <w:jc w:val="left"/>
            </w:pPr>
            <w:r>
              <w:rPr>
                <w:rFonts w:ascii="仿宋_GB2312" w:hAnsi="仿宋_GB2312" w:cs="仿宋_GB2312" w:eastAsia="仿宋_GB2312"/>
                <w:sz w:val="28"/>
              </w:rPr>
              <w:t>建设地点：西安市</w:t>
            </w:r>
            <w:r>
              <w:rPr>
                <w:rFonts w:ascii="仿宋_GB2312" w:hAnsi="仿宋_GB2312" w:cs="仿宋_GB2312" w:eastAsia="仿宋_GB2312"/>
                <w:sz w:val="28"/>
              </w:rPr>
              <w:t>长安区</w:t>
            </w:r>
          </w:p>
          <w:p>
            <w:pPr>
              <w:pStyle w:val="null3"/>
              <w:jc w:val="both"/>
            </w:pPr>
            <w:r>
              <w:rPr>
                <w:rFonts w:ascii="仿宋_GB2312" w:hAnsi="仿宋_GB2312" w:cs="仿宋_GB2312" w:eastAsia="仿宋_GB2312"/>
                <w:sz w:val="28"/>
                <w:b/>
                <w:color w:val="0C0C0C"/>
              </w:rPr>
              <w:t xml:space="preserve"> 二、编制</w:t>
            </w:r>
            <w:r>
              <w:rPr>
                <w:rFonts w:ascii="仿宋_GB2312" w:hAnsi="仿宋_GB2312" w:cs="仿宋_GB2312" w:eastAsia="仿宋_GB2312"/>
                <w:sz w:val="28"/>
                <w:b/>
                <w:color w:val="0C0C0C"/>
              </w:rPr>
              <w:t>范围：</w:t>
            </w:r>
          </w:p>
          <w:p>
            <w:pPr>
              <w:pStyle w:val="null3"/>
              <w:ind w:firstLine="560"/>
              <w:jc w:val="left"/>
            </w:pPr>
            <w:r>
              <w:rPr>
                <w:rFonts w:ascii="仿宋_GB2312" w:hAnsi="仿宋_GB2312" w:cs="仿宋_GB2312" w:eastAsia="仿宋_GB2312"/>
                <w:sz w:val="28"/>
              </w:rPr>
              <w:t>编制范围为西安市长安区垃圾分类主题公园项目，具体改造内容如下：</w:t>
            </w:r>
          </w:p>
          <w:p>
            <w:pPr>
              <w:pStyle w:val="null3"/>
              <w:ind w:firstLine="560"/>
              <w:jc w:val="left"/>
            </w:pPr>
            <w:r>
              <w:rPr>
                <w:rFonts w:ascii="仿宋_GB2312" w:hAnsi="仿宋_GB2312" w:cs="仿宋_GB2312" w:eastAsia="仿宋_GB2312"/>
                <w:sz w:val="28"/>
              </w:rPr>
              <w:t>1、室外土建工程：室外停车场、围墙护栏、室外坡道及出入口改造，新增公园主题标牌内容等；</w:t>
            </w:r>
          </w:p>
          <w:p>
            <w:pPr>
              <w:pStyle w:val="null3"/>
              <w:ind w:firstLine="560"/>
              <w:jc w:val="left"/>
            </w:pPr>
            <w:r>
              <w:rPr>
                <w:rFonts w:ascii="仿宋_GB2312" w:hAnsi="仿宋_GB2312" w:cs="仿宋_GB2312" w:eastAsia="仿宋_GB2312"/>
                <w:sz w:val="28"/>
              </w:rPr>
              <w:t>2、给排水工程：管道、阀门、水表的安装等内容；</w:t>
            </w:r>
          </w:p>
          <w:p>
            <w:pPr>
              <w:pStyle w:val="null3"/>
              <w:ind w:firstLine="560"/>
              <w:jc w:val="left"/>
            </w:pPr>
            <w:r>
              <w:rPr>
                <w:rFonts w:ascii="仿宋_GB2312" w:hAnsi="仿宋_GB2312" w:cs="仿宋_GB2312" w:eastAsia="仿宋_GB2312"/>
                <w:sz w:val="28"/>
              </w:rPr>
              <w:t>3、弱电工程：a.安防系统：配管、配线、光缆的敷设及摄像机、交换机的安装等内容；b.停车厂管理系统：配管、配线的敷设及出入口控制设备的安装等内容；c.安保室内设备的安装</w:t>
            </w:r>
          </w:p>
          <w:p>
            <w:pPr>
              <w:pStyle w:val="null3"/>
              <w:ind w:firstLine="560"/>
              <w:jc w:val="left"/>
            </w:pPr>
            <w:r>
              <w:rPr>
                <w:rFonts w:ascii="仿宋_GB2312" w:hAnsi="仿宋_GB2312" w:cs="仿宋_GB2312" w:eastAsia="仿宋_GB2312"/>
                <w:sz w:val="28"/>
              </w:rPr>
              <w:t>4、室外照明增加庭院灯、庭院灯基础开挖及回填；庭院灯电缆、预留电动车充电桩电源，电缆沟开挖回填；室外排水增加雨水管、雨水井、雨水口、管道开挖回填；室外给水增加PE给水管、户内水表后入户给水PE支管、水表箱（包含智能水表+止回阀+球阀+泄压阀）、闸阀井、管道开挖回填；</w:t>
            </w:r>
          </w:p>
          <w:p>
            <w:pPr>
              <w:pStyle w:val="null3"/>
              <w:ind w:firstLine="422"/>
              <w:jc w:val="both"/>
            </w:pPr>
            <w:r>
              <w:rPr>
                <w:rFonts w:ascii="仿宋_GB2312" w:hAnsi="仿宋_GB2312" w:cs="仿宋_GB2312" w:eastAsia="仿宋_GB2312"/>
                <w:sz w:val="28"/>
                <w:b/>
                <w:color w:val="0C0C0C"/>
              </w:rPr>
              <w:t>三、编制依据：</w:t>
            </w:r>
          </w:p>
          <w:p>
            <w:pPr>
              <w:pStyle w:val="null3"/>
              <w:ind w:firstLine="700"/>
              <w:jc w:val="both"/>
            </w:pPr>
            <w:r>
              <w:rPr>
                <w:rFonts w:ascii="仿宋_GB2312" w:hAnsi="仿宋_GB2312" w:cs="仿宋_GB2312" w:eastAsia="仿宋_GB2312"/>
                <w:sz w:val="28"/>
                <w:color w:val="0C0C0C"/>
              </w:rPr>
              <w:t>1、与建设项目相关的标准、规范等技术资料；</w:t>
            </w:r>
          </w:p>
          <w:p>
            <w:pPr>
              <w:pStyle w:val="null3"/>
              <w:ind w:firstLine="700"/>
              <w:jc w:val="both"/>
            </w:pPr>
            <w:r>
              <w:rPr>
                <w:rFonts w:ascii="仿宋_GB2312" w:hAnsi="仿宋_GB2312" w:cs="仿宋_GB2312" w:eastAsia="仿宋_GB2312"/>
                <w:sz w:val="28"/>
                <w:color w:val="0C0C0C"/>
              </w:rPr>
              <w:t>(1)《陕西省消耗量定额章节说明及费用规则》(2025)；</w:t>
            </w:r>
          </w:p>
          <w:p>
            <w:pPr>
              <w:pStyle w:val="null3"/>
              <w:ind w:firstLine="700"/>
              <w:jc w:val="both"/>
            </w:pPr>
            <w:r>
              <w:rPr>
                <w:rFonts w:ascii="仿宋_GB2312" w:hAnsi="仿宋_GB2312" w:cs="仿宋_GB2312" w:eastAsia="仿宋_GB2312"/>
                <w:sz w:val="28"/>
                <w:color w:val="0C0C0C"/>
              </w:rPr>
              <w:t>(2)《陕西省基价表说明(2025)》；</w:t>
            </w:r>
          </w:p>
          <w:p>
            <w:pPr>
              <w:pStyle w:val="null3"/>
              <w:ind w:firstLine="700"/>
              <w:jc w:val="both"/>
            </w:pPr>
            <w:r>
              <w:rPr>
                <w:rFonts w:ascii="仿宋_GB2312" w:hAnsi="仿宋_GB2312" w:cs="仿宋_GB2312" w:eastAsia="仿宋_GB2312"/>
                <w:sz w:val="28"/>
                <w:color w:val="0C0C0C"/>
              </w:rPr>
              <w:t>(3)《陕西省建设工程工程量清单计价标准及计算标准(2025)》（2025年）；</w:t>
            </w:r>
          </w:p>
          <w:p>
            <w:pPr>
              <w:pStyle w:val="null3"/>
              <w:ind w:firstLine="700"/>
              <w:jc w:val="both"/>
            </w:pPr>
            <w:r>
              <w:rPr>
                <w:rFonts w:ascii="仿宋_GB2312" w:hAnsi="仿宋_GB2312" w:cs="仿宋_GB2312" w:eastAsia="仿宋_GB2312"/>
                <w:sz w:val="28"/>
                <w:color w:val="0C0C0C"/>
              </w:rPr>
              <w:t>(4) )陕建管发〔2025〕10号陕西省住房和城乡建设厅关于印发2025陕西省建设工程费用规则等计价依据的通知；</w:t>
            </w:r>
          </w:p>
          <w:p>
            <w:pPr>
              <w:pStyle w:val="null3"/>
              <w:ind w:firstLine="70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color w:val="0C0C0C"/>
              </w:rPr>
              <w:t>编制软件采用广联达</w:t>
            </w:r>
            <w:r>
              <w:rPr>
                <w:rFonts w:ascii="仿宋_GB2312" w:hAnsi="仿宋_GB2312" w:cs="仿宋_GB2312" w:eastAsia="仿宋_GB2312"/>
                <w:sz w:val="28"/>
                <w:color w:val="0C0C0C"/>
              </w:rPr>
              <w:t>7.5000.23.1</w:t>
            </w:r>
            <w:r>
              <w:rPr>
                <w:rFonts w:ascii="仿宋_GB2312" w:hAnsi="仿宋_GB2312" w:cs="仿宋_GB2312" w:eastAsia="仿宋_GB2312"/>
                <w:sz w:val="28"/>
                <w:color w:val="0C0C0C"/>
              </w:rPr>
              <w:t>版本；</w:t>
            </w:r>
          </w:p>
          <w:p>
            <w:pPr>
              <w:pStyle w:val="null3"/>
              <w:ind w:firstLine="700"/>
              <w:jc w:val="both"/>
            </w:pPr>
            <w:r>
              <w:rPr>
                <w:rFonts w:ascii="仿宋_GB2312" w:hAnsi="仿宋_GB2312" w:cs="仿宋_GB2312" w:eastAsia="仿宋_GB2312"/>
                <w:sz w:val="28"/>
              </w:rPr>
              <w:t>3</w:t>
            </w:r>
            <w:r>
              <w:rPr>
                <w:rFonts w:ascii="仿宋_GB2312" w:hAnsi="仿宋_GB2312" w:cs="仿宋_GB2312" w:eastAsia="仿宋_GB2312"/>
                <w:sz w:val="28"/>
              </w:rPr>
              <w:t>、劳保统筹按规定计入工程造价；</w:t>
            </w:r>
          </w:p>
          <w:p>
            <w:pPr>
              <w:pStyle w:val="null3"/>
              <w:ind w:firstLine="700"/>
              <w:jc w:val="both"/>
            </w:pPr>
            <w:r>
              <w:rPr>
                <w:rFonts w:ascii="仿宋_GB2312" w:hAnsi="仿宋_GB2312" w:cs="仿宋_GB2312" w:eastAsia="仿宋_GB2312"/>
                <w:sz w:val="28"/>
                <w:color w:val="0C0C0C"/>
              </w:rPr>
              <w:t>4、设计图纸：由西安上仕建筑工程设计</w:t>
            </w:r>
            <w:r>
              <w:rPr>
                <w:rFonts w:ascii="仿宋_GB2312" w:hAnsi="仿宋_GB2312" w:cs="仿宋_GB2312" w:eastAsia="仿宋_GB2312"/>
                <w:sz w:val="28"/>
                <w:color w:val="0C0C0C"/>
              </w:rPr>
              <w:t>有限公司设计的《</w:t>
            </w:r>
            <w:r>
              <w:rPr>
                <w:rFonts w:ascii="仿宋_GB2312" w:hAnsi="仿宋_GB2312" w:cs="仿宋_GB2312" w:eastAsia="仿宋_GB2312"/>
                <w:sz w:val="28"/>
              </w:rPr>
              <w:t>西安市长安区垃圾分类主题公园项目</w:t>
            </w:r>
            <w:r>
              <w:rPr>
                <w:rFonts w:ascii="仿宋_GB2312" w:hAnsi="仿宋_GB2312" w:cs="仿宋_GB2312" w:eastAsia="仿宋_GB2312"/>
                <w:sz w:val="28"/>
                <w:color w:val="0C0C0C"/>
              </w:rPr>
              <w:t>》</w:t>
            </w:r>
            <w:r>
              <w:rPr>
                <w:rFonts w:ascii="仿宋_GB2312" w:hAnsi="仿宋_GB2312" w:cs="仿宋_GB2312" w:eastAsia="仿宋_GB2312"/>
                <w:sz w:val="28"/>
                <w:color w:val="0C0C0C"/>
              </w:rPr>
              <w:t>设计图及图纸答疑回复</w:t>
            </w:r>
            <w:r>
              <w:rPr>
                <w:rFonts w:ascii="仿宋_GB2312" w:hAnsi="仿宋_GB2312" w:cs="仿宋_GB2312" w:eastAsia="仿宋_GB2312"/>
                <w:sz w:val="28"/>
                <w:color w:val="0C0C0C"/>
              </w:rPr>
              <w:t>。</w:t>
            </w:r>
          </w:p>
          <w:p>
            <w:pPr>
              <w:pStyle w:val="null3"/>
              <w:ind w:firstLine="422"/>
              <w:jc w:val="both"/>
            </w:pPr>
            <w:r>
              <w:rPr>
                <w:rFonts w:ascii="仿宋_GB2312" w:hAnsi="仿宋_GB2312" w:cs="仿宋_GB2312" w:eastAsia="仿宋_GB2312"/>
                <w:sz w:val="28"/>
                <w:b/>
                <w:color w:val="0C0C0C"/>
              </w:rPr>
              <w:t>四、编制说明：</w:t>
            </w:r>
          </w:p>
          <w:p>
            <w:pPr>
              <w:pStyle w:val="null3"/>
              <w:ind w:firstLine="560"/>
              <w:jc w:val="both"/>
            </w:pPr>
            <w:r>
              <w:rPr>
                <w:rFonts w:ascii="仿宋_GB2312" w:hAnsi="仿宋_GB2312" w:cs="仿宋_GB2312" w:eastAsia="仿宋_GB2312"/>
                <w:sz w:val="28"/>
                <w:color w:val="0C0C0C"/>
              </w:rPr>
              <w:t>1、</w:t>
            </w:r>
            <w:r>
              <w:rPr>
                <w:rFonts w:ascii="仿宋_GB2312" w:hAnsi="仿宋_GB2312" w:cs="仿宋_GB2312" w:eastAsia="仿宋_GB2312"/>
                <w:sz w:val="28"/>
                <w:color w:val="0C0C0C"/>
              </w:rPr>
              <w:t>本工程量清单所提供工程项目特征仅表达了主要工程做法，组价时应依据设计图纸、相关图集，结合招标文件，合同条款，技术规范、图纸等进行组价；</w:t>
            </w:r>
          </w:p>
          <w:p>
            <w:pPr>
              <w:pStyle w:val="null3"/>
              <w:ind w:right="-60" w:firstLine="560"/>
              <w:jc w:val="both"/>
            </w:pPr>
            <w:r>
              <w:rPr>
                <w:rFonts w:ascii="仿宋_GB2312" w:hAnsi="仿宋_GB2312" w:cs="仿宋_GB2312" w:eastAsia="仿宋_GB2312"/>
                <w:sz w:val="28"/>
                <w:color w:val="0C0C0C"/>
              </w:rPr>
              <w:t>2、本工程室外标识标牌专业工程暂估价110000.00元，计入室外标识工程的其他项目费中；</w:t>
            </w:r>
          </w:p>
          <w:p>
            <w:pPr>
              <w:pStyle w:val="null3"/>
              <w:ind w:firstLine="560"/>
              <w:jc w:val="both"/>
            </w:pPr>
            <w:r>
              <w:rPr>
                <w:rFonts w:ascii="仿宋_GB2312" w:hAnsi="仿宋_GB2312" w:cs="仿宋_GB2312" w:eastAsia="仿宋_GB2312"/>
                <w:sz w:val="28"/>
                <w:color w:val="0C0C0C"/>
              </w:rPr>
              <w:t>3、</w:t>
            </w:r>
            <w:r>
              <w:rPr>
                <w:rFonts w:ascii="仿宋_GB2312" w:hAnsi="仿宋_GB2312" w:cs="仿宋_GB2312" w:eastAsia="仿宋_GB2312"/>
                <w:sz w:val="28"/>
              </w:rPr>
              <w:t>本工程所用混凝土均为商品混凝土</w:t>
            </w:r>
            <w:r>
              <w:rPr>
                <w:rFonts w:ascii="仿宋_GB2312" w:hAnsi="仿宋_GB2312" w:cs="仿宋_GB2312" w:eastAsia="仿宋_GB2312"/>
                <w:sz w:val="28"/>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人在领取成交通知书时提供一正两副纸质响应文件及电子响应文件一份（U盘，电子响应文件为Word版本和PDF版本，PDF文件为签字、盖章的完整正本扫描件）。装订：纸质响应文件采用书籍（胶装）方式装订成册，与电子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法定代表人授权书（附法定代表人、被授权人身份证复印件加盖公章）及被授权人身份证原件（法定代表人直接参加磋商，须提供法定代表人身份证明及身份证复印件加盖公章）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供应商须为具有独立承担民事责任能力的法人、其他组织或自然人，并出具合法有效的营业执照或事业单位法人证书等国家规定的相关证明，自然人参与的提供其身份证明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供应商须为具有独立承担民事责任能力的法人、其他组织或自然人，并出具合法有效的营业执照或事业单位法人证书等国家规定的相关证明，自然人参与的提供其身份证明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供应商须提供具有履行合同所必需的设备和专业技术能力的承诺函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拟派项目经理须具备建筑工程专业二级及以上建造师资格,并具有有效的安全生产考核合格证书（建安B证），且未担任其他在建工程项目的项目经理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供应商须为中小企业。供应商为中小企业的，应提供《中小企业声明函》；供应商为残疾人福利性单位的，应提供《残疾人福利性单位声明函》；供应商为监狱企业的，应提供《监狱企业证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项目名称、项目编号与本项目完全一致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 盖章</w:t>
            </w:r>
          </w:p>
        </w:tc>
        <w:tc>
          <w:tcPr>
            <w:tcW w:type="dxa" w:w="3322"/>
          </w:tcPr>
          <w:p>
            <w:pPr>
              <w:pStyle w:val="null3"/>
            </w:pPr>
            <w:r>
              <w:rPr>
                <w:rFonts w:ascii="仿宋_GB2312" w:hAnsi="仿宋_GB2312" w:cs="仿宋_GB2312" w:eastAsia="仿宋_GB2312"/>
              </w:rPr>
              <w:t>响应文件的签署、盖章符合磋商文件要求，且无遗漏。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供应商提供2022年1月以来类似项目业绩合同（以合同签订时间为准），每份得2.5分，满分10分。 （注：以上证明文件在磋商响应文件中附业绩合同扫描件并加盖公章。）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施工方案与技术措施：完全符合要求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工程质量的技术组织措施：完全符合要求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文明施工、环境保护及现场扬尘治污防治措施：完全符合要求7-10 分；基本满足要求 4-7 分；不满足要求求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施工进度计划及工期保证措施：完全符合要求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施工机械配备和材料投入计划：完全符合要求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项目管理及技术力量配备：完全符合要求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价格得分采用低价优先法计算，即满足竞争性磋商文件要求且报价最低的供应商的价格为评标基准价，其价格得分为满分。其他供应商的价格得分统一按照下列公式计算： 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