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版本号：DCZX2025-ZCCS-FW115520251117001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档案馆日常运行</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DCZX2025-ZCCS-FW1155</w:t>
      </w:r>
      <w:r>
        <w:br/>
      </w:r>
      <w:r>
        <w:br/>
      </w:r>
      <w:r>
        <w:br/>
      </w:r>
    </w:p>
    <w:p>
      <w:pPr>
        <w:pStyle w:val="null3"/>
        <w:jc w:val="center"/>
        <w:outlineLvl w:val="2"/>
      </w:pPr>
      <w:r>
        <w:rPr>
          <w:rFonts w:ascii="仿宋_GB2312" w:hAnsi="仿宋_GB2312" w:cs="仿宋_GB2312" w:eastAsia="仿宋_GB2312"/>
          <w:sz w:val="28"/>
          <w:b/>
        </w:rPr>
        <w:t>西安市长安区档案馆</w:t>
      </w:r>
    </w:p>
    <w:p>
      <w:pPr>
        <w:pStyle w:val="null3"/>
        <w:jc w:val="center"/>
        <w:outlineLvl w:val="2"/>
      </w:pPr>
      <w:r>
        <w:rPr>
          <w:rFonts w:ascii="仿宋_GB2312" w:hAnsi="仿宋_GB2312" w:cs="仿宋_GB2312" w:eastAsia="仿宋_GB2312"/>
          <w:sz w:val="28"/>
          <w:b/>
        </w:rPr>
        <w:t>陕西鼎成项目管理咨询有限公司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陕西鼎成项目管理咨询有限公司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西安市长安区档案馆</w:t>
      </w:r>
      <w:r>
        <w:rPr>
          <w:rFonts w:ascii="仿宋_GB2312" w:hAnsi="仿宋_GB2312" w:cs="仿宋_GB2312" w:eastAsia="仿宋_GB2312"/>
        </w:rPr>
        <w:t>委托，拟对</w:t>
      </w:r>
      <w:r>
        <w:rPr>
          <w:rFonts w:ascii="仿宋_GB2312" w:hAnsi="仿宋_GB2312" w:cs="仿宋_GB2312" w:eastAsia="仿宋_GB2312"/>
        </w:rPr>
        <w:t>档案馆日常运行</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DCZX2025-ZCCS-FW1155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档案馆日常运行</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档案馆日常运行物业服务，详见采购需求。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采购包1（档案馆日常运行）：属于专门面向中小企业采购。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1、身份证明：法定代表人授权书（法定代表人直接参加磋商，须提供法定代表人身份证明）；</w:t>
      </w:r>
    </w:p>
    <w:p>
      <w:pPr>
        <w:pStyle w:val="null3"/>
      </w:pPr>
      <w:r>
        <w:rPr>
          <w:rFonts w:ascii="仿宋_GB2312" w:hAnsi="仿宋_GB2312" w:cs="仿宋_GB2312" w:eastAsia="仿宋_GB2312"/>
        </w:rPr>
        <w:t>2、非联合体声明：本项目不接受联合体投标；</w:t>
      </w:r>
    </w:p>
    <w:p>
      <w:pPr>
        <w:pStyle w:val="null3"/>
      </w:pPr>
      <w:r>
        <w:rPr>
          <w:rFonts w:ascii="仿宋_GB2312" w:hAnsi="仿宋_GB2312" w:cs="仿宋_GB2312" w:eastAsia="仿宋_GB2312"/>
        </w:rPr>
        <w:t>3、信用记录：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采购代理机构将在开标当日打印查询记录作为证据留存，对列入失信被执行人、重大税收违法案件当事人名单、政府采购严重违法失信行为记录名单及其他不符合《中华人民共和国政府采购法》第二十二条规定的供应商，采购代理机构将拒绝其参与政府采购活动，查询结果以电子或纸质方式留存。</w:t>
      </w:r>
    </w:p>
    <w:p>
      <w:pPr>
        <w:pStyle w:val="null3"/>
      </w:pPr>
      <w:r>
        <w:rPr>
          <w:rFonts w:ascii="仿宋_GB2312" w:hAnsi="仿宋_GB2312" w:cs="仿宋_GB2312" w:eastAsia="仿宋_GB2312"/>
        </w:rPr>
        <w:t>4、中小企业声明函：本项目专门面向中小企业采购，仅限符合《政府采购促进中小企业发展管理办法》的通知(财库〔2020〕46 号) 条件的中小企业参与，并提供中小企业声明函，残疾人福利企业、监狱企业视同中小企业。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西安市长安区档案馆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西安市长安区新行政中心B座302</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张开路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029-85292118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陕西鼎成项目管理咨询有限公司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陕西省西安市高新区高新路88号尚品国际B座7层703室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彭宏飞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029-81773523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政府采购中心</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采购包1：963,600.00元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按国家计委颁发的《招标代理服务收费管理暂行办法》（计价格[2002]1980号）和国家发展改革委员会办公厅颁发的《关于招标代理服务收费有关问题的通知》(发改办价格[2003]857号）的有关规定，按照年成交总金额差额定律累进计算法计算，招标代理服务费=1年招标代理服务费×3年后，下浮35.00%计取。 2、成交供应商在领取成交通知书前，须向采购代理机构一次性支付采购代理服务费。代理费缴存账户： 开户名称：陕西鼎成项目管理咨询有限公司 开户银行：中国民生银行西安枫林绿洲支行 账号：171277297 （备注：项目名称+代理服务费） 成交供应商在领取成交通知书时需向采购代理机构提交加盖公章的纸质版介绍信（或授权委托书）及身份证复印件。</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西安市长安区档案馆</w:t>
      </w:r>
      <w:r>
        <w:rPr>
          <w:rFonts w:ascii="仿宋_GB2312" w:hAnsi="仿宋_GB2312" w:cs="仿宋_GB2312" w:eastAsia="仿宋_GB2312"/>
        </w:rPr>
        <w:t>和</w:t>
      </w:r>
      <w:r>
        <w:rPr>
          <w:rFonts w:ascii="仿宋_GB2312" w:hAnsi="仿宋_GB2312" w:cs="仿宋_GB2312" w:eastAsia="仿宋_GB2312"/>
        </w:rPr>
        <w:t>陕西鼎成项目管理咨询有限公司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西安市长安区档案馆</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陕西鼎成项目管理咨询有限公司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西安市长安区档案馆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陕西鼎成项目管理咨询有限公司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满足现行业技术规范要求及采购人需求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联系人：彭宏飞</w:t>
      </w:r>
    </w:p>
    <w:p>
      <w:pPr>
        <w:pStyle w:val="null3"/>
      </w:pPr>
      <w:r>
        <w:rPr>
          <w:rFonts w:ascii="仿宋_GB2312" w:hAnsi="仿宋_GB2312" w:cs="仿宋_GB2312" w:eastAsia="仿宋_GB2312"/>
        </w:rPr>
        <w:t>联系电话：029-81773523</w:t>
      </w:r>
    </w:p>
    <w:p>
      <w:pPr>
        <w:pStyle w:val="null3"/>
      </w:pPr>
      <w:r>
        <w:rPr>
          <w:rFonts w:ascii="仿宋_GB2312" w:hAnsi="仿宋_GB2312" w:cs="仿宋_GB2312" w:eastAsia="仿宋_GB2312"/>
        </w:rPr>
        <w:t>地址：陕西省西安市高新区高新路88号尚品国际B座7层703室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档案馆日常运行物业服务，详见采购需求。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963,600.00</w:t>
      </w:r>
    </w:p>
    <w:p>
      <w:pPr>
        <w:pStyle w:val="null3"/>
      </w:pPr>
      <w:r>
        <w:rPr>
          <w:rFonts w:ascii="仿宋_GB2312" w:hAnsi="仿宋_GB2312" w:cs="仿宋_GB2312" w:eastAsia="仿宋_GB2312"/>
        </w:rPr>
        <w:t>采购包最高限价（元）: 963,600.00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档案馆日常运行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963,600.00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标的名称：档案馆日常运行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1.项目基本情况</w:t>
            </w:r>
          </w:p>
          <w:tbl>
            <w:tblPr>
              <w:tblBorders>
                <w:top w:val="none" w:color="000000" w:sz="4"/>
                <w:left w:val="none" w:color="000000" w:sz="4"/>
                <w:bottom w:val="none" w:color="000000" w:sz="4"/>
                <w:right w:val="none" w:color="000000" w:sz="4"/>
                <w:insideH w:val="none"/>
                <w:insideV w:val="none"/>
              </w:tblBorders>
            </w:tblPr>
            <w:tblGrid>
              <w:gridCol w:w="1282"/>
              <w:gridCol w:w="1270"/>
            </w:tblGrid>
            <w:tr>
              <w:tc>
                <w:tcPr>
                  <w:tcW w:type="dxa" w:w="128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物业名称</w:t>
                  </w:r>
                </w:p>
              </w:tc>
              <w:tc>
                <w:tcPr>
                  <w:tcW w:type="dxa" w:w="127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物业地址</w:t>
                  </w:r>
                </w:p>
              </w:tc>
            </w:tr>
            <w:tr>
              <w:tc>
                <w:tcPr>
                  <w:tcW w:type="dxa" w:w="1282"/>
                  <w:tcBorders>
                    <w:top w:val="non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档案馆日常运行</w:t>
                  </w:r>
                </w:p>
              </w:tc>
              <w:tc>
                <w:tcPr>
                  <w:tcW w:type="dxa" w:w="1270"/>
                  <w:tcBorders>
                    <w:top w:val="non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西安市长安区档案馆</w:t>
                  </w:r>
                </w:p>
              </w:tc>
            </w:tr>
          </w:tbl>
          <w:p>
            <w:pPr>
              <w:pStyle w:val="null3"/>
              <w:jc w:val="both"/>
            </w:pPr>
            <w:r>
              <w:rPr>
                <w:rFonts w:ascii="仿宋_GB2312" w:hAnsi="仿宋_GB2312" w:cs="仿宋_GB2312" w:eastAsia="仿宋_GB2312"/>
                <w:sz w:val="24"/>
              </w:rPr>
              <w:t xml:space="preserve"> 2.物业服务范围</w:t>
            </w:r>
          </w:p>
          <w:p>
            <w:pPr>
              <w:pStyle w:val="null3"/>
              <w:jc w:val="both"/>
            </w:pPr>
            <w:r>
              <w:rPr>
                <w:rFonts w:ascii="仿宋_GB2312" w:hAnsi="仿宋_GB2312" w:cs="仿宋_GB2312" w:eastAsia="仿宋_GB2312"/>
                <w:sz w:val="24"/>
              </w:rPr>
              <w:t>档案馆日常运行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1）物业管理（建筑物）</w:t>
            </w:r>
          </w:p>
          <w:tbl>
            <w:tblPr>
              <w:tblBorders>
                <w:top w:val="none" w:color="000000" w:sz="4"/>
                <w:left w:val="none" w:color="000000" w:sz="4"/>
                <w:bottom w:val="none" w:color="000000" w:sz="4"/>
                <w:right w:val="none" w:color="000000" w:sz="4"/>
                <w:insideH w:val="none"/>
                <w:insideV w:val="none"/>
              </w:tblBorders>
            </w:tblPr>
            <w:tblGrid>
              <w:gridCol w:w="209"/>
              <w:gridCol w:w="432"/>
              <w:gridCol w:w="1176"/>
              <w:gridCol w:w="735"/>
            </w:tblGrid>
            <w:tr>
              <w:tc>
                <w:tcPr>
                  <w:tcW w:type="dxa" w:w="641"/>
                  <w:gridSpan w:val="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名称</w:t>
                  </w:r>
                </w:p>
              </w:tc>
              <w:tc>
                <w:tcPr>
                  <w:tcW w:type="dxa" w:w="117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明细</w:t>
                  </w:r>
                </w:p>
              </w:tc>
              <w:tc>
                <w:tcPr>
                  <w:tcW w:type="dxa" w:w="73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服务内容及标准</w:t>
                  </w:r>
                </w:p>
              </w:tc>
            </w:tr>
            <w:tr>
              <w:tc>
                <w:tcPr>
                  <w:tcW w:type="dxa" w:w="641"/>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建筑名称</w:t>
                  </w:r>
                </w:p>
              </w:tc>
              <w:tc>
                <w:tcPr>
                  <w:tcW w:type="dxa" w:w="11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办公楼、餐厅</w:t>
                  </w:r>
                </w:p>
              </w:tc>
              <w:tc>
                <w:tcPr>
                  <w:tcW w:type="dxa" w:w="7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 xml:space="preserve"> </w:t>
                  </w:r>
                </w:p>
              </w:tc>
            </w:tr>
            <w:tr>
              <w:tc>
                <w:tcPr>
                  <w:tcW w:type="dxa" w:w="20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总面积</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建筑面积（㎡）</w:t>
                  </w:r>
                </w:p>
              </w:tc>
              <w:tc>
                <w:tcPr>
                  <w:tcW w:type="dxa" w:w="11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7031.39</w:t>
                  </w:r>
                </w:p>
              </w:tc>
              <w:tc>
                <w:tcPr>
                  <w:tcW w:type="dxa" w:w="73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见</w:t>
                  </w:r>
                  <w:r>
                    <w:rPr>
                      <w:rFonts w:ascii="仿宋_GB2312" w:hAnsi="仿宋_GB2312" w:cs="仿宋_GB2312" w:eastAsia="仿宋_GB2312"/>
                      <w:sz w:val="24"/>
                    </w:rPr>
                    <w:t>“3.6保安服务”</w:t>
                  </w:r>
                </w:p>
              </w:tc>
            </w:tr>
            <w:tr>
              <w:tc>
                <w:tcPr>
                  <w:tcW w:type="dxa" w:w="209"/>
                  <w:vMerge/>
                  <w:tcBorders>
                    <w:top w:val="none" w:color="000000" w:sz="4"/>
                    <w:left w:val="single" w:color="000000" w:sz="4"/>
                    <w:bottom w:val="single" w:color="000000" w:sz="4"/>
                    <w:right w:val="single" w:color="000000" w:sz="4"/>
                  </w:tcBorders>
                </w:tcP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需保洁面积（㎡）</w:t>
                  </w:r>
                </w:p>
              </w:tc>
              <w:tc>
                <w:tcPr>
                  <w:tcW w:type="dxa" w:w="11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6001.16</w:t>
                  </w:r>
                </w:p>
              </w:tc>
              <w:tc>
                <w:tcPr>
                  <w:tcW w:type="dxa" w:w="7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见</w:t>
                  </w:r>
                  <w:r>
                    <w:rPr>
                      <w:rFonts w:ascii="仿宋_GB2312" w:hAnsi="仿宋_GB2312" w:cs="仿宋_GB2312" w:eastAsia="仿宋_GB2312"/>
                      <w:sz w:val="24"/>
                    </w:rPr>
                    <w:t>“3.4保洁服务”</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门窗</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门窗总个数（个）及总面积（㎡）</w:t>
                  </w:r>
                </w:p>
              </w:tc>
              <w:tc>
                <w:tcPr>
                  <w:tcW w:type="dxa" w:w="11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门</w:t>
                  </w:r>
                  <w:r>
                    <w:rPr>
                      <w:rFonts w:ascii="仿宋_GB2312" w:hAnsi="仿宋_GB2312" w:cs="仿宋_GB2312" w:eastAsia="仿宋_GB2312"/>
                      <w:sz w:val="24"/>
                    </w:rPr>
                    <w:t>149个.窗127个.总面积1330.67㎡</w:t>
                  </w:r>
                </w:p>
              </w:tc>
              <w:tc>
                <w:tcPr>
                  <w:tcW w:type="dxa" w:w="7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见</w:t>
                  </w:r>
                  <w:r>
                    <w:rPr>
                      <w:rFonts w:ascii="仿宋_GB2312" w:hAnsi="仿宋_GB2312" w:cs="仿宋_GB2312" w:eastAsia="仿宋_GB2312"/>
                      <w:sz w:val="24"/>
                    </w:rPr>
                    <w:t>“3.2房屋维护服务”“3.4保洁服务”</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地面</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地面各材质及总面积（㎡）</w:t>
                  </w:r>
                </w:p>
              </w:tc>
              <w:tc>
                <w:tcPr>
                  <w:tcW w:type="dxa" w:w="11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瓷砖面积</w:t>
                  </w:r>
                  <w:r>
                    <w:rPr>
                      <w:rFonts w:ascii="仿宋_GB2312" w:hAnsi="仿宋_GB2312" w:cs="仿宋_GB2312" w:eastAsia="仿宋_GB2312"/>
                      <w:sz w:val="24"/>
                    </w:rPr>
                    <w:t>600.1.16㎡</w:t>
                  </w:r>
                </w:p>
              </w:tc>
              <w:tc>
                <w:tcPr>
                  <w:tcW w:type="dxa" w:w="7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见</w:t>
                  </w:r>
                  <w:r>
                    <w:rPr>
                      <w:rFonts w:ascii="仿宋_GB2312" w:hAnsi="仿宋_GB2312" w:cs="仿宋_GB2312" w:eastAsia="仿宋_GB2312"/>
                      <w:sz w:val="24"/>
                    </w:rPr>
                    <w:t>“3.2房屋维护服务”“3.4保洁服务”</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内墙饰面</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4"/>
                    </w:rPr>
                    <w:t>内墙饰面各材质及总面积（㎡）</w:t>
                  </w:r>
                </w:p>
              </w:tc>
              <w:tc>
                <w:tcPr>
                  <w:tcW w:type="dxa" w:w="11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内饰乳胶漆</w:t>
                  </w:r>
                  <w:r>
                    <w:rPr>
                      <w:rFonts w:ascii="仿宋_GB2312" w:hAnsi="仿宋_GB2312" w:cs="仿宋_GB2312" w:eastAsia="仿宋_GB2312"/>
                      <w:sz w:val="24"/>
                    </w:rPr>
                    <w:t>10398.16㎡</w:t>
                  </w:r>
                </w:p>
              </w:tc>
              <w:tc>
                <w:tcPr>
                  <w:tcW w:type="dxa" w:w="7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见</w:t>
                  </w:r>
                  <w:r>
                    <w:rPr>
                      <w:rFonts w:ascii="仿宋_GB2312" w:hAnsi="仿宋_GB2312" w:cs="仿宋_GB2312" w:eastAsia="仿宋_GB2312"/>
                      <w:sz w:val="24"/>
                    </w:rPr>
                    <w:t>“3.2房屋维护服务”“3.4保洁服务”</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顶面</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顶面各材质及总面积（㎡）</w:t>
                  </w:r>
                </w:p>
              </w:tc>
              <w:tc>
                <w:tcPr>
                  <w:tcW w:type="dxa" w:w="11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乳胶漆，</w:t>
                  </w:r>
                  <w:r>
                    <w:rPr>
                      <w:rFonts w:ascii="仿宋_GB2312" w:hAnsi="仿宋_GB2312" w:cs="仿宋_GB2312" w:eastAsia="仿宋_GB2312"/>
                      <w:sz w:val="24"/>
                    </w:rPr>
                    <w:t>7538.53㎡</w:t>
                  </w:r>
                </w:p>
              </w:tc>
              <w:tc>
                <w:tcPr>
                  <w:tcW w:type="dxa" w:w="7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见</w:t>
                  </w:r>
                  <w:r>
                    <w:rPr>
                      <w:rFonts w:ascii="仿宋_GB2312" w:hAnsi="仿宋_GB2312" w:cs="仿宋_GB2312" w:eastAsia="仿宋_GB2312"/>
                      <w:sz w:val="24"/>
                    </w:rPr>
                    <w:t>“3.2房屋维护服务”“3.4保洁服务”</w:t>
                  </w:r>
                </w:p>
              </w:tc>
            </w:tr>
            <w:tr>
              <w:tc>
                <w:tcPr>
                  <w:tcW w:type="dxa" w:w="209"/>
                  <w:vMerge w:val="restart"/>
                  <w:tcBorders>
                    <w:top w:val="none" w:color="000000" w:sz="4"/>
                    <w:left w:val="single" w:color="000000" w:sz="4"/>
                    <w:bottom w:val="outset"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外墙</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外墙各材质及总面积（㎡）</w:t>
                  </w:r>
                </w:p>
              </w:tc>
              <w:tc>
                <w:tcPr>
                  <w:tcW w:type="dxa" w:w="11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玻璃幕墙</w:t>
                  </w:r>
                  <w:r>
                    <w:rPr>
                      <w:rFonts w:ascii="仿宋_GB2312" w:hAnsi="仿宋_GB2312" w:cs="仿宋_GB2312" w:eastAsia="仿宋_GB2312"/>
                      <w:sz w:val="24"/>
                    </w:rPr>
                    <w:t>204.8㎡ 、 真实漆等2323.78㎡</w:t>
                  </w:r>
                </w:p>
              </w:tc>
              <w:tc>
                <w:tcPr>
                  <w:tcW w:type="dxa" w:w="7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209"/>
                  <w:vMerge/>
                  <w:tcBorders>
                    <w:top w:val="none" w:color="000000" w:sz="4"/>
                    <w:left w:val="single" w:color="000000" w:sz="4"/>
                    <w:bottom w:val="outset" w:color="000000" w:sz="4"/>
                    <w:right w:val="single" w:color="000000" w:sz="4"/>
                  </w:tcBorders>
                </w:tcP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外墙需清洗面积（㎡）</w:t>
                  </w:r>
                </w:p>
              </w:tc>
              <w:tc>
                <w:tcPr>
                  <w:tcW w:type="dxa" w:w="11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清洗总面积</w:t>
                  </w:r>
                  <w:r>
                    <w:rPr>
                      <w:rFonts w:ascii="仿宋_GB2312" w:hAnsi="仿宋_GB2312" w:cs="仿宋_GB2312" w:eastAsia="仿宋_GB2312"/>
                      <w:sz w:val="24"/>
                    </w:rPr>
                    <w:t>2528.58㎡</w:t>
                  </w:r>
                </w:p>
              </w:tc>
              <w:tc>
                <w:tcPr>
                  <w:tcW w:type="dxa" w:w="7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20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会议室</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室内设施说明</w:t>
                  </w:r>
                </w:p>
              </w:tc>
              <w:tc>
                <w:tcPr>
                  <w:tcW w:type="dxa" w:w="11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2个会议室、20张桌子及58把椅子、投影机1个、音箱4个、电视机1台、功放2个</w:t>
                  </w:r>
                </w:p>
              </w:tc>
              <w:tc>
                <w:tcPr>
                  <w:tcW w:type="dxa" w:w="7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见</w:t>
                  </w:r>
                  <w:r>
                    <w:rPr>
                      <w:rFonts w:ascii="仿宋_GB2312" w:hAnsi="仿宋_GB2312" w:cs="仿宋_GB2312" w:eastAsia="仿宋_GB2312"/>
                      <w:sz w:val="24"/>
                    </w:rPr>
                    <w:t>“3.2房屋维护服务”“3.4保洁服务”“3.7会议服务”</w:t>
                  </w:r>
                </w:p>
              </w:tc>
            </w:tr>
            <w:tr>
              <w:tc>
                <w:tcPr>
                  <w:tcW w:type="dxa" w:w="209"/>
                  <w:vMerge/>
                  <w:tcBorders>
                    <w:top w:val="none" w:color="000000" w:sz="4"/>
                    <w:left w:val="single" w:color="000000" w:sz="4"/>
                    <w:bottom w:val="single" w:color="000000" w:sz="4"/>
                    <w:right w:val="single" w:color="000000" w:sz="4"/>
                  </w:tcBorders>
                </w:tcP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会议室数量（个）</w:t>
                  </w:r>
                </w:p>
              </w:tc>
              <w:tc>
                <w:tcPr>
                  <w:tcW w:type="dxa" w:w="11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会议室</w:t>
                  </w:r>
                  <w:r>
                    <w:rPr>
                      <w:rFonts w:ascii="仿宋_GB2312" w:hAnsi="仿宋_GB2312" w:cs="仿宋_GB2312" w:eastAsia="仿宋_GB2312"/>
                      <w:sz w:val="24"/>
                    </w:rPr>
                    <w:t>2间、总面积110㎡</w:t>
                  </w:r>
                </w:p>
              </w:tc>
              <w:tc>
                <w:tcPr>
                  <w:tcW w:type="dxa" w:w="7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见</w:t>
                  </w:r>
                  <w:r>
                    <w:rPr>
                      <w:rFonts w:ascii="仿宋_GB2312" w:hAnsi="仿宋_GB2312" w:cs="仿宋_GB2312" w:eastAsia="仿宋_GB2312"/>
                      <w:sz w:val="24"/>
                    </w:rPr>
                    <w:t>“3.4保洁服务”“3.7会议服务”</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卫生间</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卫生间数量（个）</w:t>
                  </w:r>
                </w:p>
              </w:tc>
              <w:tc>
                <w:tcPr>
                  <w:tcW w:type="dxa" w:w="11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卫生间数量</w:t>
                  </w:r>
                  <w:r>
                    <w:rPr>
                      <w:rFonts w:ascii="仿宋_GB2312" w:hAnsi="仿宋_GB2312" w:cs="仿宋_GB2312" w:eastAsia="仿宋_GB2312"/>
                      <w:sz w:val="24"/>
                    </w:rPr>
                    <w:t>10间及总面积150㎡</w:t>
                  </w:r>
                </w:p>
              </w:tc>
              <w:tc>
                <w:tcPr>
                  <w:tcW w:type="dxa" w:w="7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见</w:t>
                  </w:r>
                  <w:r>
                    <w:rPr>
                      <w:rFonts w:ascii="仿宋_GB2312" w:hAnsi="仿宋_GB2312" w:cs="仿宋_GB2312" w:eastAsia="仿宋_GB2312"/>
                      <w:sz w:val="24"/>
                    </w:rPr>
                    <w:t>“3.4保洁服务”</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垃圾存放点</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垃圾存放点位置及数量（个）</w:t>
                  </w:r>
                </w:p>
              </w:tc>
              <w:tc>
                <w:tcPr>
                  <w:tcW w:type="dxa" w:w="11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垃圾存放点位置西南角数量</w:t>
                  </w:r>
                  <w:r>
                    <w:rPr>
                      <w:rFonts w:ascii="仿宋_GB2312" w:hAnsi="仿宋_GB2312" w:cs="仿宋_GB2312" w:eastAsia="仿宋_GB2312"/>
                      <w:sz w:val="24"/>
                    </w:rPr>
                    <w:t>1个、总面积23.4㎡</w:t>
                  </w:r>
                </w:p>
                <w:p>
                  <w:pPr>
                    <w:pStyle w:val="null3"/>
                    <w:jc w:val="both"/>
                  </w:pPr>
                </w:p>
              </w:tc>
              <w:tc>
                <w:tcPr>
                  <w:tcW w:type="dxa" w:w="7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见</w:t>
                  </w:r>
                  <w:r>
                    <w:rPr>
                      <w:rFonts w:ascii="仿宋_GB2312" w:hAnsi="仿宋_GB2312" w:cs="仿宋_GB2312" w:eastAsia="仿宋_GB2312"/>
                      <w:sz w:val="24"/>
                    </w:rPr>
                    <w:t>“3.4保洁服务”</w:t>
                  </w:r>
                </w:p>
              </w:tc>
            </w:tr>
            <w:tr>
              <w:tc>
                <w:tcPr>
                  <w:tcW w:type="dxa" w:w="20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地面车位数</w:t>
                  </w:r>
                </w:p>
              </w:tc>
              <w:tc>
                <w:tcPr>
                  <w:tcW w:type="dxa" w:w="11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19个</w:t>
                  </w:r>
                </w:p>
              </w:tc>
              <w:tc>
                <w:tcPr>
                  <w:tcW w:type="dxa" w:w="7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见</w:t>
                  </w:r>
                  <w:r>
                    <w:rPr>
                      <w:rFonts w:ascii="仿宋_GB2312" w:hAnsi="仿宋_GB2312" w:cs="仿宋_GB2312" w:eastAsia="仿宋_GB2312"/>
                      <w:sz w:val="24"/>
                    </w:rPr>
                    <w:t>“3.6保安服务”</w:t>
                  </w:r>
                </w:p>
              </w:tc>
            </w:tr>
            <w:tr>
              <w:tc>
                <w:tcPr>
                  <w:tcW w:type="dxa" w:w="20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车行</w:t>
                  </w:r>
                  <w:r>
                    <w:rPr>
                      <w:rFonts w:ascii="仿宋_GB2312" w:hAnsi="仿宋_GB2312" w:cs="仿宋_GB2312" w:eastAsia="仿宋_GB2312"/>
                      <w:sz w:val="24"/>
                    </w:rPr>
                    <w:t>/人行口</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车行口</w:t>
                  </w:r>
                </w:p>
              </w:tc>
              <w:tc>
                <w:tcPr>
                  <w:tcW w:type="dxa" w:w="11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1个</w:t>
                  </w:r>
                </w:p>
              </w:tc>
              <w:tc>
                <w:tcPr>
                  <w:tcW w:type="dxa" w:w="7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见</w:t>
                  </w:r>
                  <w:r>
                    <w:rPr>
                      <w:rFonts w:ascii="仿宋_GB2312" w:hAnsi="仿宋_GB2312" w:cs="仿宋_GB2312" w:eastAsia="仿宋_GB2312"/>
                      <w:sz w:val="24"/>
                    </w:rPr>
                    <w:t>“3.6保安服务”</w:t>
                  </w:r>
                </w:p>
              </w:tc>
            </w:tr>
            <w:tr>
              <w:tc>
                <w:tcPr>
                  <w:tcW w:type="dxa" w:w="209"/>
                  <w:vMerge/>
                  <w:tcBorders>
                    <w:top w:val="none" w:color="000000" w:sz="4"/>
                    <w:left w:val="single" w:color="000000" w:sz="4"/>
                    <w:bottom w:val="single" w:color="000000" w:sz="4"/>
                    <w:right w:val="single" w:color="000000" w:sz="4"/>
                  </w:tcBorders>
                </w:tcP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人行口</w:t>
                  </w:r>
                </w:p>
              </w:tc>
              <w:tc>
                <w:tcPr>
                  <w:tcW w:type="dxa" w:w="11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1个</w:t>
                  </w:r>
                </w:p>
              </w:tc>
              <w:tc>
                <w:tcPr>
                  <w:tcW w:type="dxa" w:w="7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见</w:t>
                  </w:r>
                  <w:r>
                    <w:rPr>
                      <w:rFonts w:ascii="仿宋_GB2312" w:hAnsi="仿宋_GB2312" w:cs="仿宋_GB2312" w:eastAsia="仿宋_GB2312"/>
                      <w:sz w:val="24"/>
                    </w:rPr>
                    <w:t>“3.6保安服务”</w:t>
                  </w:r>
                </w:p>
              </w:tc>
            </w:tr>
            <w:tr>
              <w:tc>
                <w:tcPr>
                  <w:tcW w:type="dxa" w:w="20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设施设备</w:t>
                  </w:r>
                </w:p>
                <w:p>
                  <w:pPr>
                    <w:pStyle w:val="null3"/>
                    <w:jc w:val="both"/>
                  </w:pPr>
                  <w:r>
                    <w:rPr>
                      <w:rFonts w:ascii="仿宋_GB2312" w:hAnsi="仿宋_GB2312" w:cs="仿宋_GB2312" w:eastAsia="仿宋_GB2312"/>
                      <w:sz w:val="24"/>
                    </w:rPr>
                    <w:t xml:space="preserve"> </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电梯系统</w:t>
                  </w:r>
                </w:p>
              </w:tc>
              <w:tc>
                <w:tcPr>
                  <w:tcW w:type="dxa" w:w="11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数数量</w:t>
                  </w:r>
                  <w:r>
                    <w:rPr>
                      <w:rFonts w:ascii="仿宋_GB2312" w:hAnsi="仿宋_GB2312" w:cs="仿宋_GB2312" w:eastAsia="仿宋_GB2312"/>
                      <w:sz w:val="24"/>
                    </w:rPr>
                    <w:t>1个、消防一体在质保期内</w:t>
                  </w:r>
                </w:p>
              </w:tc>
              <w:tc>
                <w:tcPr>
                  <w:tcW w:type="dxa" w:w="7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见</w:t>
                  </w:r>
                  <w:r>
                    <w:rPr>
                      <w:rFonts w:ascii="仿宋_GB2312" w:hAnsi="仿宋_GB2312" w:cs="仿宋_GB2312" w:eastAsia="仿宋_GB2312"/>
                      <w:sz w:val="24"/>
                    </w:rPr>
                    <w:t>“3.6保安服务”“3.3公用设施设备维护服务”</w:t>
                  </w:r>
                </w:p>
              </w:tc>
            </w:tr>
            <w:tr>
              <w:tc>
                <w:tcPr>
                  <w:tcW w:type="dxa" w:w="209"/>
                  <w:vMerge/>
                  <w:tcBorders>
                    <w:top w:val="none" w:color="000000" w:sz="4"/>
                    <w:left w:val="single" w:color="000000" w:sz="4"/>
                    <w:bottom w:val="single" w:color="000000" w:sz="4"/>
                    <w:right w:val="single" w:color="000000" w:sz="4"/>
                  </w:tcBorders>
                </w:tcP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空调系统</w:t>
                  </w:r>
                </w:p>
              </w:tc>
              <w:tc>
                <w:tcPr>
                  <w:tcW w:type="dxa" w:w="11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中央空调一套，不在质保期内</w:t>
                  </w:r>
                </w:p>
              </w:tc>
              <w:tc>
                <w:tcPr>
                  <w:tcW w:type="dxa" w:w="7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见</w:t>
                  </w:r>
                  <w:r>
                    <w:rPr>
                      <w:rFonts w:ascii="仿宋_GB2312" w:hAnsi="仿宋_GB2312" w:cs="仿宋_GB2312" w:eastAsia="仿宋_GB2312"/>
                      <w:sz w:val="24"/>
                    </w:rPr>
                    <w:t>“3.6保安服务”“3.3公用设施设备维护服务”</w:t>
                  </w:r>
                </w:p>
              </w:tc>
            </w:tr>
            <w:tr>
              <w:tc>
                <w:tcPr>
                  <w:tcW w:type="dxa" w:w="209"/>
                  <w:vMerge/>
                  <w:tcBorders>
                    <w:top w:val="none" w:color="000000" w:sz="4"/>
                    <w:left w:val="single" w:color="000000" w:sz="4"/>
                    <w:bottom w:val="single" w:color="000000" w:sz="4"/>
                    <w:right w:val="single" w:color="000000" w:sz="4"/>
                  </w:tcBorders>
                </w:tcP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给排水系统</w:t>
                  </w:r>
                </w:p>
              </w:tc>
              <w:tc>
                <w:tcPr>
                  <w:tcW w:type="dxa" w:w="11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由潜水泵、集水井、污水处理设备等</w:t>
                  </w:r>
                </w:p>
                <w:p>
                  <w:pPr>
                    <w:pStyle w:val="null3"/>
                    <w:jc w:val="both"/>
                  </w:pPr>
                  <w:r>
                    <w:rPr>
                      <w:rFonts w:ascii="仿宋_GB2312" w:hAnsi="仿宋_GB2312" w:cs="仿宋_GB2312" w:eastAsia="仿宋_GB2312"/>
                      <w:sz w:val="24"/>
                    </w:rPr>
                    <w:t>地下排水泵的数量</w:t>
                  </w:r>
                  <w:r>
                    <w:rPr>
                      <w:rFonts w:ascii="仿宋_GB2312" w:hAnsi="仿宋_GB2312" w:cs="仿宋_GB2312" w:eastAsia="仿宋_GB2312"/>
                      <w:sz w:val="24"/>
                    </w:rPr>
                    <w:t>7个、功率1KW、不在质保期内</w:t>
                  </w:r>
                </w:p>
              </w:tc>
              <w:tc>
                <w:tcPr>
                  <w:tcW w:type="dxa" w:w="7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见</w:t>
                  </w:r>
                  <w:r>
                    <w:rPr>
                      <w:rFonts w:ascii="仿宋_GB2312" w:hAnsi="仿宋_GB2312" w:cs="仿宋_GB2312" w:eastAsia="仿宋_GB2312"/>
                      <w:sz w:val="24"/>
                    </w:rPr>
                    <w:t>“3.6保安服务”“3.3公用设施设备维护服务”</w:t>
                  </w:r>
                </w:p>
              </w:tc>
            </w:tr>
            <w:tr>
              <w:tc>
                <w:tcPr>
                  <w:tcW w:type="dxa" w:w="209"/>
                  <w:vMerge/>
                  <w:tcBorders>
                    <w:top w:val="none" w:color="000000" w:sz="4"/>
                    <w:left w:val="single" w:color="000000" w:sz="4"/>
                    <w:bottom w:val="single" w:color="000000" w:sz="4"/>
                    <w:right w:val="single" w:color="000000" w:sz="4"/>
                  </w:tcBorders>
                </w:tcP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消防系统</w:t>
                  </w:r>
                </w:p>
              </w:tc>
              <w:tc>
                <w:tcPr>
                  <w:tcW w:type="dxa" w:w="11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火灾自动报警器</w:t>
                  </w:r>
                  <w:r>
                    <w:rPr>
                      <w:rFonts w:ascii="仿宋_GB2312" w:hAnsi="仿宋_GB2312" w:cs="仿宋_GB2312" w:eastAsia="仿宋_GB2312"/>
                      <w:sz w:val="24"/>
                    </w:rPr>
                    <w:t>1个、消防水系统1个、应急广播1个、防排烟系统1套（室内消火栓26个、灭火器72个）</w:t>
                  </w:r>
                </w:p>
              </w:tc>
              <w:tc>
                <w:tcPr>
                  <w:tcW w:type="dxa" w:w="7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见</w:t>
                  </w:r>
                  <w:r>
                    <w:rPr>
                      <w:rFonts w:ascii="仿宋_GB2312" w:hAnsi="仿宋_GB2312" w:cs="仿宋_GB2312" w:eastAsia="仿宋_GB2312"/>
                      <w:sz w:val="24"/>
                    </w:rPr>
                    <w:t>“3.6保安服务”“3.3公用设施设备维护服务”</w:t>
                  </w:r>
                </w:p>
              </w:tc>
            </w:tr>
            <w:tr>
              <w:tc>
                <w:tcPr>
                  <w:tcW w:type="dxa" w:w="209"/>
                  <w:vMerge/>
                  <w:tcBorders>
                    <w:top w:val="none" w:color="000000" w:sz="4"/>
                    <w:left w:val="single" w:color="000000" w:sz="4"/>
                    <w:bottom w:val="single" w:color="000000" w:sz="4"/>
                    <w:right w:val="single" w:color="000000" w:sz="4"/>
                  </w:tcBorders>
                </w:tcP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安防系统</w:t>
                  </w:r>
                </w:p>
              </w:tc>
              <w:tc>
                <w:tcPr>
                  <w:tcW w:type="dxa" w:w="11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视频预警系统</w:t>
                  </w:r>
                  <w:r>
                    <w:rPr>
                      <w:rFonts w:ascii="仿宋_GB2312" w:hAnsi="仿宋_GB2312" w:cs="仿宋_GB2312" w:eastAsia="仿宋_GB2312"/>
                      <w:sz w:val="24"/>
                    </w:rPr>
                    <w:t>1套</w:t>
                  </w:r>
                </w:p>
              </w:tc>
              <w:tc>
                <w:tcPr>
                  <w:tcW w:type="dxa" w:w="7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见</w:t>
                  </w:r>
                  <w:r>
                    <w:rPr>
                      <w:rFonts w:ascii="仿宋_GB2312" w:hAnsi="仿宋_GB2312" w:cs="仿宋_GB2312" w:eastAsia="仿宋_GB2312"/>
                      <w:sz w:val="24"/>
                    </w:rPr>
                    <w:t>“3.6保安服务”“3.3公用设施设备维护服务”</w:t>
                  </w:r>
                </w:p>
              </w:tc>
            </w:tr>
            <w:tr>
              <w:tc>
                <w:tcPr>
                  <w:tcW w:type="dxa" w:w="209"/>
                  <w:vMerge/>
                  <w:tcBorders>
                    <w:top w:val="none" w:color="000000" w:sz="4"/>
                    <w:left w:val="single" w:color="000000" w:sz="4"/>
                    <w:bottom w:val="single" w:color="000000" w:sz="4"/>
                    <w:right w:val="single" w:color="000000" w:sz="4"/>
                  </w:tcBorders>
                </w:tcP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照明系统</w:t>
                  </w:r>
                </w:p>
              </w:tc>
              <w:tc>
                <w:tcPr>
                  <w:tcW w:type="dxa" w:w="11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应急照明系统和自然灯控制系统</w:t>
                  </w:r>
                </w:p>
                <w:p>
                  <w:pPr>
                    <w:pStyle w:val="null3"/>
                    <w:jc w:val="both"/>
                  </w:pPr>
                  <w:r>
                    <w:rPr>
                      <w:rFonts w:ascii="仿宋_GB2312" w:hAnsi="仿宋_GB2312" w:cs="仿宋_GB2312" w:eastAsia="仿宋_GB2312"/>
                      <w:sz w:val="24"/>
                    </w:rPr>
                    <w:t>各一套</w:t>
                  </w:r>
                </w:p>
              </w:tc>
              <w:tc>
                <w:tcPr>
                  <w:tcW w:type="dxa" w:w="7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见</w:t>
                  </w:r>
                  <w:r>
                    <w:rPr>
                      <w:rFonts w:ascii="仿宋_GB2312" w:hAnsi="仿宋_GB2312" w:cs="仿宋_GB2312" w:eastAsia="仿宋_GB2312"/>
                      <w:sz w:val="24"/>
                    </w:rPr>
                    <w:t>“3.6保安服务”“3.3公用设施设备维护服务”</w:t>
                  </w:r>
                </w:p>
              </w:tc>
            </w:tr>
            <w:tr>
              <w:tc>
                <w:tcPr>
                  <w:tcW w:type="dxa" w:w="209"/>
                  <w:vMerge/>
                  <w:tcBorders>
                    <w:top w:val="none" w:color="000000" w:sz="4"/>
                    <w:left w:val="single" w:color="000000" w:sz="4"/>
                    <w:bottom w:val="single" w:color="000000" w:sz="4"/>
                    <w:right w:val="single" w:color="000000" w:sz="4"/>
                  </w:tcBorders>
                </w:tcP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供配电系统</w:t>
                  </w:r>
                </w:p>
              </w:tc>
              <w:tc>
                <w:tcPr>
                  <w:tcW w:type="dxa" w:w="11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高压柜</w:t>
                  </w:r>
                  <w:r>
                    <w:rPr>
                      <w:rFonts w:ascii="仿宋_GB2312" w:hAnsi="仿宋_GB2312" w:cs="仿宋_GB2312" w:eastAsia="仿宋_GB2312"/>
                      <w:sz w:val="24"/>
                    </w:rPr>
                    <w:t>1套、低压柜2套</w:t>
                  </w:r>
                </w:p>
              </w:tc>
              <w:tc>
                <w:tcPr>
                  <w:tcW w:type="dxa" w:w="7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见</w:t>
                  </w:r>
                  <w:r>
                    <w:rPr>
                      <w:rFonts w:ascii="仿宋_GB2312" w:hAnsi="仿宋_GB2312" w:cs="仿宋_GB2312" w:eastAsia="仿宋_GB2312"/>
                      <w:sz w:val="24"/>
                    </w:rPr>
                    <w:t>“3.3公用设施设备维护服务”</w:t>
                  </w:r>
                </w:p>
              </w:tc>
            </w:tr>
          </w:tbl>
          <w:p>
            <w:pPr>
              <w:pStyle w:val="null3"/>
              <w:jc w:val="both"/>
            </w:pPr>
            <w:r>
              <w:rPr>
                <w:rFonts w:ascii="仿宋_GB2312" w:hAnsi="仿宋_GB2312" w:cs="仿宋_GB2312" w:eastAsia="仿宋_GB2312"/>
                <w:sz w:val="24"/>
              </w:rPr>
              <w:t>注：此表格详细列出了不同建筑物的物业管理指标项及其明细。若存在</w:t>
            </w:r>
            <w:r>
              <w:rPr>
                <w:rFonts w:ascii="仿宋_GB2312" w:hAnsi="仿宋_GB2312" w:cs="仿宋_GB2312" w:eastAsia="仿宋_GB2312"/>
                <w:sz w:val="24"/>
              </w:rPr>
              <w:t>“建筑2”，则相应增加内容，以此类推。</w:t>
            </w:r>
          </w:p>
          <w:p>
            <w:pPr>
              <w:pStyle w:val="null3"/>
              <w:jc w:val="both"/>
            </w:pPr>
            <w:r>
              <w:rPr>
                <w:rFonts w:ascii="仿宋_GB2312" w:hAnsi="仿宋_GB2312" w:cs="仿宋_GB2312" w:eastAsia="仿宋_GB2312"/>
                <w:sz w:val="24"/>
              </w:rPr>
              <w:t>以上内容体现需要供应商进行物业管理的物业的情况、边界、范围。指标的设置要充分考虑可能影响供应商报价和项目实施风险的因素。</w:t>
            </w:r>
          </w:p>
          <w:p>
            <w:pPr>
              <w:pStyle w:val="null3"/>
              <w:jc w:val="both"/>
            </w:pPr>
            <w:r>
              <w:rPr>
                <w:rFonts w:ascii="仿宋_GB2312" w:hAnsi="仿宋_GB2312" w:cs="仿宋_GB2312" w:eastAsia="仿宋_GB2312"/>
                <w:sz w:val="24"/>
              </w:rPr>
              <w:t xml:space="preserve"> （2）物业管理（室外）</w:t>
            </w:r>
          </w:p>
          <w:tbl>
            <w:tblPr>
              <w:tblBorders>
                <w:top w:val="none" w:color="000000" w:sz="4"/>
                <w:left w:val="none" w:color="000000" w:sz="4"/>
                <w:bottom w:val="none" w:color="000000" w:sz="4"/>
                <w:right w:val="none" w:color="000000" w:sz="4"/>
                <w:insideH w:val="none"/>
                <w:insideV w:val="none"/>
              </w:tblBorders>
            </w:tblPr>
            <w:tblGrid>
              <w:gridCol w:w="463"/>
              <w:gridCol w:w="925"/>
              <w:gridCol w:w="1163"/>
            </w:tblGrid>
            <w:tr>
              <w:tc>
                <w:tcPr>
                  <w:tcW w:type="dxa" w:w="46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名称</w:t>
                  </w:r>
                </w:p>
              </w:tc>
              <w:tc>
                <w:tcPr>
                  <w:tcW w:type="dxa" w:w="92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明细</w:t>
                  </w:r>
                </w:p>
              </w:tc>
              <w:tc>
                <w:tcPr>
                  <w:tcW w:type="dxa" w:w="116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服务内容及标准</w:t>
                  </w:r>
                </w:p>
              </w:tc>
            </w:tr>
            <w:tr>
              <w:tc>
                <w:tcPr>
                  <w:tcW w:type="dxa" w:w="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室外面积</w:t>
                  </w: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3601.96平方米</w:t>
                  </w:r>
                </w:p>
              </w:tc>
              <w:tc>
                <w:tcPr>
                  <w:tcW w:type="dxa" w:w="1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见</w:t>
                  </w:r>
                  <w:r>
                    <w:rPr>
                      <w:rFonts w:ascii="仿宋_GB2312" w:hAnsi="仿宋_GB2312" w:cs="仿宋_GB2312" w:eastAsia="仿宋_GB2312"/>
                      <w:sz w:val="24"/>
                    </w:rPr>
                    <w:t>“3.4保洁服务”“3.6保安服务”</w:t>
                  </w:r>
                </w:p>
              </w:tc>
            </w:tr>
            <w:tr>
              <w:tc>
                <w:tcPr>
                  <w:tcW w:type="dxa" w:w="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绿化</w:t>
                  </w: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景观绿化面积</w:t>
                  </w:r>
                  <w:r>
                    <w:rPr>
                      <w:rFonts w:ascii="仿宋_GB2312" w:hAnsi="仿宋_GB2312" w:cs="仿宋_GB2312" w:eastAsia="仿宋_GB2312"/>
                      <w:sz w:val="24"/>
                    </w:rPr>
                    <w:t>1090.87㎡</w:t>
                  </w:r>
                </w:p>
              </w:tc>
              <w:tc>
                <w:tcPr>
                  <w:tcW w:type="dxa" w:w="1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见</w:t>
                  </w:r>
                  <w:r>
                    <w:rPr>
                      <w:rFonts w:ascii="仿宋_GB2312" w:hAnsi="仿宋_GB2312" w:cs="仿宋_GB2312" w:eastAsia="仿宋_GB2312"/>
                      <w:sz w:val="24"/>
                    </w:rPr>
                    <w:t>“3.4保洁服务”“3.5绿化服务”</w:t>
                  </w:r>
                </w:p>
              </w:tc>
            </w:tr>
            <w:tr>
              <w:tc>
                <w:tcPr>
                  <w:tcW w:type="dxa" w:w="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广场</w:t>
                  </w: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广场总面积</w:t>
                  </w:r>
                  <w:r>
                    <w:rPr>
                      <w:rFonts w:ascii="仿宋_GB2312" w:hAnsi="仿宋_GB2312" w:cs="仿宋_GB2312" w:eastAsia="仿宋_GB2312"/>
                      <w:sz w:val="24"/>
                    </w:rPr>
                    <w:t>2511.07㎡</w:t>
                  </w:r>
                </w:p>
              </w:tc>
              <w:tc>
                <w:tcPr>
                  <w:tcW w:type="dxa" w:w="1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路灯</w:t>
                  </w: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23个路灯</w:t>
                  </w:r>
                </w:p>
              </w:tc>
              <w:tc>
                <w:tcPr>
                  <w:tcW w:type="dxa" w:w="1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见</w:t>
                  </w:r>
                  <w:r>
                    <w:rPr>
                      <w:rFonts w:ascii="仿宋_GB2312" w:hAnsi="仿宋_GB2312" w:cs="仿宋_GB2312" w:eastAsia="仿宋_GB2312"/>
                      <w:sz w:val="24"/>
                    </w:rPr>
                    <w:t>“3.4保洁服务”“3.3公用设施设备维护服务”</w:t>
                  </w:r>
                </w:p>
              </w:tc>
            </w:tr>
            <w:tr>
              <w:tc>
                <w:tcPr>
                  <w:tcW w:type="dxa" w:w="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消防栓</w:t>
                  </w: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1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见</w:t>
                  </w:r>
                  <w:r>
                    <w:rPr>
                      <w:rFonts w:ascii="仿宋_GB2312" w:hAnsi="仿宋_GB2312" w:cs="仿宋_GB2312" w:eastAsia="仿宋_GB2312"/>
                      <w:sz w:val="24"/>
                    </w:rPr>
                    <w:t>“3.4保洁服务”“3.3公用设施设备维护服务”</w:t>
                  </w:r>
                </w:p>
              </w:tc>
            </w:tr>
            <w:tr>
              <w:tc>
                <w:tcPr>
                  <w:tcW w:type="dxa" w:w="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垃圾箱</w:t>
                  </w: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垃圾箱</w:t>
                  </w:r>
                  <w:r>
                    <w:rPr>
                      <w:rFonts w:ascii="仿宋_GB2312" w:hAnsi="仿宋_GB2312" w:cs="仿宋_GB2312" w:eastAsia="仿宋_GB2312"/>
                      <w:sz w:val="24"/>
                    </w:rPr>
                    <w:t>18个 、垃圾桶20个</w:t>
                  </w:r>
                </w:p>
              </w:tc>
              <w:tc>
                <w:tcPr>
                  <w:tcW w:type="dxa" w:w="1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见</w:t>
                  </w:r>
                  <w:r>
                    <w:rPr>
                      <w:rFonts w:ascii="仿宋_GB2312" w:hAnsi="仿宋_GB2312" w:cs="仿宋_GB2312" w:eastAsia="仿宋_GB2312"/>
                      <w:sz w:val="24"/>
                    </w:rPr>
                    <w:t>“3.4保洁服务”</w:t>
                  </w:r>
                </w:p>
              </w:tc>
            </w:tr>
            <w:tr>
              <w:tc>
                <w:tcPr>
                  <w:tcW w:type="dxa" w:w="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室外配电箱</w:t>
                  </w: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室外配电箱</w:t>
                  </w:r>
                  <w:r>
                    <w:rPr>
                      <w:rFonts w:ascii="仿宋_GB2312" w:hAnsi="仿宋_GB2312" w:cs="仿宋_GB2312" w:eastAsia="仿宋_GB2312"/>
                      <w:sz w:val="24"/>
                    </w:rPr>
                    <w:t>4个</w:t>
                  </w:r>
                </w:p>
              </w:tc>
              <w:tc>
                <w:tcPr>
                  <w:tcW w:type="dxa" w:w="1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见</w:t>
                  </w:r>
                  <w:r>
                    <w:rPr>
                      <w:rFonts w:ascii="仿宋_GB2312" w:hAnsi="仿宋_GB2312" w:cs="仿宋_GB2312" w:eastAsia="仿宋_GB2312"/>
                      <w:sz w:val="24"/>
                    </w:rPr>
                    <w:t>“3.4保洁服务”“3.3公用设施设备维护服务”</w:t>
                  </w:r>
                </w:p>
              </w:tc>
            </w:tr>
            <w:tr>
              <w:tc>
                <w:tcPr>
                  <w:tcW w:type="dxa" w:w="4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监控</w:t>
                  </w:r>
                </w:p>
              </w:tc>
              <w:tc>
                <w:tcPr>
                  <w:tcW w:type="dxa" w:w="92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监控数量</w:t>
                  </w:r>
                  <w:r>
                    <w:rPr>
                      <w:rFonts w:ascii="仿宋_GB2312" w:hAnsi="仿宋_GB2312" w:cs="仿宋_GB2312" w:eastAsia="仿宋_GB2312"/>
                      <w:sz w:val="24"/>
                    </w:rPr>
                    <w:t>61个</w:t>
                  </w:r>
                </w:p>
              </w:tc>
              <w:tc>
                <w:tcPr>
                  <w:tcW w:type="dxa" w:w="116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见</w:t>
                  </w:r>
                  <w:r>
                    <w:rPr>
                      <w:rFonts w:ascii="仿宋_GB2312" w:hAnsi="仿宋_GB2312" w:cs="仿宋_GB2312" w:eastAsia="仿宋_GB2312"/>
                      <w:sz w:val="24"/>
                    </w:rPr>
                    <w:t>“3.4保洁服务”“3.3公用设施设备维护服务”</w:t>
                  </w:r>
                </w:p>
              </w:tc>
            </w:tr>
          </w:tbl>
          <w:p>
            <w:pPr>
              <w:pStyle w:val="null3"/>
              <w:jc w:val="both"/>
            </w:pPr>
            <w:r>
              <w:rPr>
                <w:rFonts w:ascii="仿宋_GB2312" w:hAnsi="仿宋_GB2312" w:cs="仿宋_GB2312" w:eastAsia="仿宋_GB2312"/>
                <w:sz w:val="24"/>
              </w:rPr>
              <w:t xml:space="preserve"> 3.物业管理服务内容及标准</w:t>
            </w:r>
          </w:p>
          <w:p>
            <w:pPr>
              <w:pStyle w:val="null3"/>
              <w:jc w:val="both"/>
            </w:pPr>
            <w:r>
              <w:rPr>
                <w:rFonts w:ascii="仿宋_GB2312" w:hAnsi="仿宋_GB2312" w:cs="仿宋_GB2312" w:eastAsia="仿宋_GB2312"/>
                <w:sz w:val="24"/>
              </w:rPr>
              <w:t xml:space="preserve"> 物业管理服务包括基本服务、公用设施设备维护服务、保洁服务、绿化服务、保安服务等。</w:t>
            </w:r>
          </w:p>
          <w:p>
            <w:pPr>
              <w:pStyle w:val="null3"/>
              <w:jc w:val="both"/>
            </w:pPr>
            <w:r>
              <w:rPr>
                <w:rFonts w:ascii="仿宋_GB2312" w:hAnsi="仿宋_GB2312" w:cs="仿宋_GB2312" w:eastAsia="仿宋_GB2312"/>
                <w:sz w:val="24"/>
              </w:rPr>
              <w:t>3.1基本服务</w:t>
            </w:r>
          </w:p>
          <w:tbl>
            <w:tblPr>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序号</w:t>
                  </w:r>
                </w:p>
              </w:tc>
              <w:tc>
                <w:tcPr>
                  <w:tcW w:type="dxa" w:w="85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服务内容</w:t>
                  </w:r>
                </w:p>
              </w:tc>
              <w:tc>
                <w:tcPr>
                  <w:tcW w:type="dxa" w:w="85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服务标准</w:t>
                  </w:r>
                </w:p>
              </w:tc>
            </w:tr>
            <w:tr>
              <w:tc>
                <w:tcPr>
                  <w:tcW w:type="dxa" w:w="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8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目标与责任</w:t>
                  </w:r>
                </w:p>
              </w:tc>
              <w:tc>
                <w:tcPr>
                  <w:tcW w:type="dxa" w:w="8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做好档案馆</w:t>
                  </w:r>
                  <w:r>
                    <w:rPr>
                      <w:rFonts w:ascii="仿宋_GB2312" w:hAnsi="仿宋_GB2312" w:cs="仿宋_GB2312" w:eastAsia="仿宋_GB2312"/>
                      <w:sz w:val="24"/>
                    </w:rPr>
                    <w:t>安全管理及</w:t>
                  </w:r>
                  <w:r>
                    <w:rPr>
                      <w:rFonts w:ascii="仿宋_GB2312" w:hAnsi="仿宋_GB2312" w:cs="仿宋_GB2312" w:eastAsia="仿宋_GB2312"/>
                      <w:sz w:val="24"/>
                    </w:rPr>
                    <w:t>保洁</w:t>
                  </w:r>
                  <w:r>
                    <w:rPr>
                      <w:rFonts w:ascii="仿宋_GB2312" w:hAnsi="仿宋_GB2312" w:cs="仿宋_GB2312" w:eastAsia="仿宋_GB2312"/>
                      <w:sz w:val="24"/>
                    </w:rPr>
                    <w:t>服务</w:t>
                  </w:r>
                  <w:r>
                    <w:rPr>
                      <w:rFonts w:ascii="仿宋_GB2312" w:hAnsi="仿宋_GB2312" w:cs="仿宋_GB2312" w:eastAsia="仿宋_GB2312"/>
                      <w:sz w:val="24"/>
                    </w:rPr>
                    <w:t>工作。</w:t>
                  </w:r>
                </w:p>
              </w:tc>
            </w:tr>
            <w:tr>
              <w:tc>
                <w:tcPr>
                  <w:tcW w:type="dxa" w:w="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8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服务人员要求</w:t>
                  </w:r>
                </w:p>
              </w:tc>
              <w:tc>
                <w:tcPr>
                  <w:tcW w:type="dxa" w:w="8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right="420"/>
                    <w:jc w:val="left"/>
                  </w:pPr>
                  <w:r>
                    <w:rPr>
                      <w:rFonts w:ascii="仿宋_GB2312" w:hAnsi="仿宋_GB2312" w:cs="仿宋_GB2312" w:eastAsia="仿宋_GB2312"/>
                      <w:sz w:val="24"/>
                    </w:rPr>
                    <w:t>（</w:t>
                  </w:r>
                  <w:r>
                    <w:rPr>
                      <w:rFonts w:ascii="仿宋_GB2312" w:hAnsi="仿宋_GB2312" w:cs="仿宋_GB2312" w:eastAsia="仿宋_GB2312"/>
                      <w:sz w:val="24"/>
                    </w:rPr>
                    <w:t>1）安保人员年龄不超过5</w:t>
                  </w:r>
                  <w:r>
                    <w:rPr>
                      <w:rFonts w:ascii="仿宋_GB2312" w:hAnsi="仿宋_GB2312" w:cs="仿宋_GB2312" w:eastAsia="仿宋_GB2312"/>
                      <w:sz w:val="24"/>
                    </w:rPr>
                    <w:t>5</w:t>
                  </w:r>
                  <w:r>
                    <w:rPr>
                      <w:rFonts w:ascii="仿宋_GB2312" w:hAnsi="仿宋_GB2312" w:cs="仿宋_GB2312" w:eastAsia="仿宋_GB2312"/>
                      <w:sz w:val="24"/>
                    </w:rPr>
                    <w:t>周岁，身体健康，无犯罪记录。</w:t>
                  </w:r>
                </w:p>
                <w:p>
                  <w:pPr>
                    <w:pStyle w:val="null3"/>
                    <w:ind w:right="420"/>
                    <w:jc w:val="both"/>
                  </w:pPr>
                  <w:r>
                    <w:rPr>
                      <w:rFonts w:ascii="仿宋_GB2312" w:hAnsi="仿宋_GB2312" w:cs="仿宋_GB2312" w:eastAsia="仿宋_GB2312"/>
                      <w:sz w:val="24"/>
                    </w:rPr>
                    <w:t>（</w:t>
                  </w:r>
                  <w:r>
                    <w:rPr>
                      <w:rFonts w:ascii="仿宋_GB2312" w:hAnsi="仿宋_GB2312" w:cs="仿宋_GB2312" w:eastAsia="仿宋_GB2312"/>
                      <w:sz w:val="24"/>
                    </w:rPr>
                    <w:t>2）保安人员应树立高度责任感，对</w:t>
                  </w:r>
                  <w:r>
                    <w:rPr>
                      <w:rFonts w:ascii="仿宋_GB2312" w:hAnsi="仿宋_GB2312" w:cs="仿宋_GB2312" w:eastAsia="仿宋_GB2312"/>
                      <w:sz w:val="24"/>
                    </w:rPr>
                    <w:t>档案馆</w:t>
                  </w:r>
                  <w:r>
                    <w:rPr>
                      <w:rFonts w:ascii="仿宋_GB2312" w:hAnsi="仿宋_GB2312" w:cs="仿宋_GB2312" w:eastAsia="仿宋_GB2312"/>
                      <w:sz w:val="24"/>
                    </w:rPr>
                    <w:t>安全保卫负责。坚持预防为主的方针，加强门房管理，把事故消灭在萌芽状态之中。</w:t>
                  </w:r>
                </w:p>
                <w:p>
                  <w:pPr>
                    <w:pStyle w:val="null3"/>
                    <w:ind w:right="420"/>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color w:val="000000"/>
                    </w:rPr>
                    <w:t>保安人员必须服从</w:t>
                  </w:r>
                  <w:r>
                    <w:rPr>
                      <w:rFonts w:ascii="仿宋_GB2312" w:hAnsi="仿宋_GB2312" w:cs="仿宋_GB2312" w:eastAsia="仿宋_GB2312"/>
                      <w:sz w:val="24"/>
                      <w:color w:val="000000"/>
                    </w:rPr>
                    <w:t>档案馆</w:t>
                  </w:r>
                  <w:r>
                    <w:rPr>
                      <w:rFonts w:ascii="仿宋_GB2312" w:hAnsi="仿宋_GB2312" w:cs="仿宋_GB2312" w:eastAsia="仿宋_GB2312"/>
                      <w:sz w:val="24"/>
                      <w:color w:val="000000"/>
                    </w:rPr>
                    <w:t>提出的安全保卫要求和门卫管理制度，</w:t>
                  </w:r>
                  <w:r>
                    <w:rPr>
                      <w:rFonts w:ascii="仿宋_GB2312" w:hAnsi="仿宋_GB2312" w:cs="仿宋_GB2312" w:eastAsia="仿宋_GB2312"/>
                      <w:sz w:val="24"/>
                    </w:rPr>
                    <w:t>工作期间不得擅离岗位，聚众聊天、不准办理私事严格履行交接班制度，做好交接班记录。</w:t>
                  </w:r>
                </w:p>
                <w:p>
                  <w:pPr>
                    <w:pStyle w:val="null3"/>
                    <w:ind w:right="420"/>
                    <w:jc w:val="left"/>
                  </w:pPr>
                  <w:r>
                    <w:rPr>
                      <w:rFonts w:ascii="仿宋_GB2312" w:hAnsi="仿宋_GB2312" w:cs="仿宋_GB2312" w:eastAsia="仿宋_GB2312"/>
                      <w:sz w:val="24"/>
                    </w:rPr>
                    <w:t>（</w:t>
                  </w:r>
                  <w:r>
                    <w:rPr>
                      <w:rFonts w:ascii="仿宋_GB2312" w:hAnsi="仿宋_GB2312" w:cs="仿宋_GB2312" w:eastAsia="仿宋_GB2312"/>
                      <w:sz w:val="24"/>
                    </w:rPr>
                    <w:t>4）服装统一干净、整洁并正确佩戴红袖章，文明礼貌，不得与</w:t>
                  </w:r>
                  <w:r>
                    <w:rPr>
                      <w:rFonts w:ascii="仿宋_GB2312" w:hAnsi="仿宋_GB2312" w:cs="仿宋_GB2312" w:eastAsia="仿宋_GB2312"/>
                      <w:sz w:val="24"/>
                    </w:rPr>
                    <w:t>来访群众</w:t>
                  </w:r>
                  <w:r>
                    <w:rPr>
                      <w:rFonts w:ascii="仿宋_GB2312" w:hAnsi="仿宋_GB2312" w:cs="仿宋_GB2312" w:eastAsia="仿宋_GB2312"/>
                      <w:sz w:val="24"/>
                    </w:rPr>
                    <w:t>发生任何争执和争吵，维护</w:t>
                  </w:r>
                  <w:r>
                    <w:rPr>
                      <w:rFonts w:ascii="仿宋_GB2312" w:hAnsi="仿宋_GB2312" w:cs="仿宋_GB2312" w:eastAsia="仿宋_GB2312"/>
                      <w:sz w:val="24"/>
                    </w:rPr>
                    <w:t>档案馆</w:t>
                  </w:r>
                  <w:r>
                    <w:rPr>
                      <w:rFonts w:ascii="仿宋_GB2312" w:hAnsi="仿宋_GB2312" w:cs="仿宋_GB2312" w:eastAsia="仿宋_GB2312"/>
                      <w:sz w:val="24"/>
                    </w:rPr>
                    <w:t>整体形象。</w:t>
                  </w:r>
                </w:p>
                <w:p>
                  <w:pPr>
                    <w:pStyle w:val="null3"/>
                    <w:ind w:right="420"/>
                    <w:jc w:val="left"/>
                  </w:pPr>
                  <w:r>
                    <w:rPr>
                      <w:rFonts w:ascii="仿宋_GB2312" w:hAnsi="仿宋_GB2312" w:cs="仿宋_GB2312" w:eastAsia="仿宋_GB2312"/>
                      <w:sz w:val="24"/>
                    </w:rPr>
                    <w:t>（</w:t>
                  </w:r>
                  <w:r>
                    <w:rPr>
                      <w:rFonts w:ascii="仿宋_GB2312" w:hAnsi="仿宋_GB2312" w:cs="仿宋_GB2312" w:eastAsia="仿宋_GB2312"/>
                      <w:sz w:val="24"/>
                    </w:rPr>
                    <w:t>5）保安人员要认真做好守护目标的防火、防盗，负责</w:t>
                  </w:r>
                  <w:r>
                    <w:rPr>
                      <w:rFonts w:ascii="仿宋_GB2312" w:hAnsi="仿宋_GB2312" w:cs="仿宋_GB2312" w:eastAsia="仿宋_GB2312"/>
                      <w:sz w:val="24"/>
                    </w:rPr>
                    <w:t>馆内</w:t>
                  </w:r>
                  <w:r>
                    <w:rPr>
                      <w:rFonts w:ascii="仿宋_GB2312" w:hAnsi="仿宋_GB2312" w:cs="仿宋_GB2312" w:eastAsia="仿宋_GB2312"/>
                      <w:sz w:val="24"/>
                    </w:rPr>
                    <w:t>人身财产安全，如发生案件应立即向主管领导报告并拨打</w:t>
                  </w:r>
                  <w:r>
                    <w:rPr>
                      <w:rFonts w:ascii="仿宋_GB2312" w:hAnsi="仿宋_GB2312" w:cs="仿宋_GB2312" w:eastAsia="仿宋_GB2312"/>
                      <w:sz w:val="24"/>
                    </w:rPr>
                    <w:t>110，保护好现场，维护好现场秩序</w:t>
                  </w:r>
                </w:p>
                <w:p>
                  <w:pPr>
                    <w:pStyle w:val="null3"/>
                    <w:ind w:right="420"/>
                    <w:jc w:val="left"/>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color w:val="000000"/>
                    </w:rPr>
                    <w:t>保安人员实行</w:t>
                  </w:r>
                  <w:r>
                    <w:rPr>
                      <w:rFonts w:ascii="仿宋_GB2312" w:hAnsi="仿宋_GB2312" w:cs="仿宋_GB2312" w:eastAsia="仿宋_GB2312"/>
                      <w:sz w:val="24"/>
                      <w:color w:val="000000"/>
                    </w:rPr>
                    <w:t>24小时值班制度，作好值班记录。地点在保安值班室。</w:t>
                  </w:r>
                </w:p>
                <w:p>
                  <w:pPr>
                    <w:pStyle w:val="null3"/>
                    <w:ind w:right="420"/>
                    <w:jc w:val="left"/>
                  </w:pPr>
                  <w:r>
                    <w:rPr>
                      <w:rFonts w:ascii="仿宋_GB2312" w:hAnsi="仿宋_GB2312" w:cs="仿宋_GB2312" w:eastAsia="仿宋_GB2312"/>
                      <w:sz w:val="24"/>
                    </w:rPr>
                    <w:t>（</w:t>
                  </w:r>
                  <w:r>
                    <w:rPr>
                      <w:rFonts w:ascii="仿宋_GB2312" w:hAnsi="仿宋_GB2312" w:cs="仿宋_GB2312" w:eastAsia="仿宋_GB2312"/>
                      <w:sz w:val="24"/>
                    </w:rPr>
                    <w:t>7）对</w:t>
                  </w:r>
                  <w:r>
                    <w:rPr>
                      <w:rFonts w:ascii="仿宋_GB2312" w:hAnsi="仿宋_GB2312" w:cs="仿宋_GB2312" w:eastAsia="仿宋_GB2312"/>
                      <w:sz w:val="24"/>
                    </w:rPr>
                    <w:t>馆</w:t>
                  </w:r>
                  <w:r>
                    <w:rPr>
                      <w:rFonts w:ascii="仿宋_GB2312" w:hAnsi="仿宋_GB2312" w:cs="仿宋_GB2312" w:eastAsia="仿宋_GB2312"/>
                      <w:sz w:val="24"/>
                    </w:rPr>
                    <w:t>内各区域进行定时、定点巡查，发现可疑人员进行询问，必要时劝离出</w:t>
                  </w:r>
                  <w:r>
                    <w:rPr>
                      <w:rFonts w:ascii="仿宋_GB2312" w:hAnsi="仿宋_GB2312" w:cs="仿宋_GB2312" w:eastAsia="仿宋_GB2312"/>
                      <w:sz w:val="24"/>
                    </w:rPr>
                    <w:t>去</w:t>
                  </w:r>
                  <w:r>
                    <w:rPr>
                      <w:rFonts w:ascii="仿宋_GB2312" w:hAnsi="仿宋_GB2312" w:cs="仿宋_GB2312" w:eastAsia="仿宋_GB2312"/>
                      <w:sz w:val="24"/>
                    </w:rPr>
                    <w:t>。</w:t>
                  </w:r>
                </w:p>
                <w:p>
                  <w:pPr>
                    <w:pStyle w:val="null3"/>
                    <w:ind w:right="420"/>
                    <w:jc w:val="left"/>
                  </w:pPr>
                  <w:r>
                    <w:rPr>
                      <w:rFonts w:ascii="仿宋_GB2312" w:hAnsi="仿宋_GB2312" w:cs="仿宋_GB2312" w:eastAsia="仿宋_GB2312"/>
                      <w:sz w:val="24"/>
                    </w:rPr>
                    <w:t>（</w:t>
                  </w:r>
                  <w:r>
                    <w:rPr>
                      <w:rFonts w:ascii="仿宋_GB2312" w:hAnsi="仿宋_GB2312" w:cs="仿宋_GB2312" w:eastAsia="仿宋_GB2312"/>
                      <w:sz w:val="24"/>
                    </w:rPr>
                    <w:t>8）熟悉掌握</w:t>
                  </w:r>
                  <w:r>
                    <w:rPr>
                      <w:rFonts w:ascii="仿宋_GB2312" w:hAnsi="仿宋_GB2312" w:cs="仿宋_GB2312" w:eastAsia="仿宋_GB2312"/>
                      <w:sz w:val="24"/>
                    </w:rPr>
                    <w:t>馆</w:t>
                  </w:r>
                  <w:r>
                    <w:rPr>
                      <w:rFonts w:ascii="仿宋_GB2312" w:hAnsi="仿宋_GB2312" w:cs="仿宋_GB2312" w:eastAsia="仿宋_GB2312"/>
                      <w:sz w:val="24"/>
                    </w:rPr>
                    <w:t>内安全消防设备的操作规程，掌握设备性能，杜绝火灾、偷盗事件的发生。</w:t>
                  </w:r>
                </w:p>
                <w:p>
                  <w:pPr>
                    <w:pStyle w:val="null3"/>
                    <w:ind w:right="420"/>
                    <w:jc w:val="left"/>
                  </w:pPr>
                  <w:r>
                    <w:rPr>
                      <w:rFonts w:ascii="仿宋_GB2312" w:hAnsi="仿宋_GB2312" w:cs="仿宋_GB2312" w:eastAsia="仿宋_GB2312"/>
                      <w:sz w:val="24"/>
                    </w:rPr>
                    <w:t>（</w:t>
                  </w:r>
                  <w:r>
                    <w:rPr>
                      <w:rFonts w:ascii="仿宋_GB2312" w:hAnsi="仿宋_GB2312" w:cs="仿宋_GB2312" w:eastAsia="仿宋_GB2312"/>
                      <w:sz w:val="24"/>
                    </w:rPr>
                    <w:t>9）根据</w:t>
                  </w:r>
                  <w:r>
                    <w:rPr>
                      <w:rFonts w:ascii="仿宋_GB2312" w:hAnsi="仿宋_GB2312" w:cs="仿宋_GB2312" w:eastAsia="仿宋_GB2312"/>
                      <w:sz w:val="24"/>
                    </w:rPr>
                    <w:t>档案馆</w:t>
                  </w:r>
                  <w:r>
                    <w:rPr>
                      <w:rFonts w:ascii="仿宋_GB2312" w:hAnsi="仿宋_GB2312" w:cs="仿宋_GB2312" w:eastAsia="仿宋_GB2312"/>
                      <w:sz w:val="24"/>
                    </w:rPr>
                    <w:t>要求严格执行门禁制度，准时开门、关门。</w:t>
                  </w:r>
                </w:p>
                <w:p>
                  <w:pPr>
                    <w:pStyle w:val="null3"/>
                    <w:ind w:right="4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0</w:t>
                  </w:r>
                  <w:r>
                    <w:rPr>
                      <w:rFonts w:ascii="仿宋_GB2312" w:hAnsi="仿宋_GB2312" w:cs="仿宋_GB2312" w:eastAsia="仿宋_GB2312"/>
                      <w:sz w:val="24"/>
                      <w:color w:val="000000"/>
                    </w:rPr>
                    <w:t>）保安人员应禁止任何外来车辆进入</w:t>
                  </w:r>
                  <w:r>
                    <w:rPr>
                      <w:rFonts w:ascii="仿宋_GB2312" w:hAnsi="仿宋_GB2312" w:cs="仿宋_GB2312" w:eastAsia="仿宋_GB2312"/>
                      <w:sz w:val="24"/>
                      <w:color w:val="000000"/>
                    </w:rPr>
                    <w:t>馆</w:t>
                  </w:r>
                  <w:r>
                    <w:rPr>
                      <w:rFonts w:ascii="仿宋_GB2312" w:hAnsi="仿宋_GB2312" w:cs="仿宋_GB2312" w:eastAsia="仿宋_GB2312"/>
                      <w:sz w:val="24"/>
                      <w:color w:val="000000"/>
                    </w:rPr>
                    <w:t>内。确实因工作或其它需要，经领导同意，验证许可做好车牌登记后，方可进</w:t>
                  </w:r>
                  <w:r>
                    <w:rPr>
                      <w:rFonts w:ascii="仿宋_GB2312" w:hAnsi="仿宋_GB2312" w:cs="仿宋_GB2312" w:eastAsia="仿宋_GB2312"/>
                      <w:sz w:val="24"/>
                      <w:color w:val="000000"/>
                    </w:rPr>
                    <w:t>入</w:t>
                  </w:r>
                  <w:r>
                    <w:rPr>
                      <w:rFonts w:ascii="仿宋_GB2312" w:hAnsi="仿宋_GB2312" w:cs="仿宋_GB2312" w:eastAsia="仿宋_GB2312"/>
                      <w:sz w:val="24"/>
                      <w:color w:val="000000"/>
                    </w:rPr>
                    <w:t>。</w:t>
                  </w:r>
                </w:p>
                <w:p>
                  <w:pPr>
                    <w:pStyle w:val="null3"/>
                    <w:ind w:right="42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）、对收发信件做好登记，无遗漏。不私藏信件，对收发信件的内容及个人信息严格保密不得泄露。及时为各办公室配送报纸。</w:t>
                  </w:r>
                </w:p>
                <w:p>
                  <w:pPr>
                    <w:pStyle w:val="null3"/>
                    <w:ind w:right="42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）、服从领导安排的临时工作并及时认真完成这些工作。</w:t>
                  </w:r>
                </w:p>
              </w:tc>
            </w:tr>
            <w:tr>
              <w:tc>
                <w:tcPr>
                  <w:tcW w:type="dxa" w:w="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3</w:t>
                  </w:r>
                </w:p>
              </w:tc>
              <w:tc>
                <w:tcPr>
                  <w:tcW w:type="dxa" w:w="8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保密和思想政治教育</w:t>
                  </w:r>
                </w:p>
              </w:tc>
              <w:tc>
                <w:tcPr>
                  <w:tcW w:type="dxa" w:w="8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1）建立保密管理制度。制度内容应当包括但不限于：①明确重点要害岗位保密职责。②对涉密工作岗位的保密要求。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2）根据采购人要求与涉密工作岗位的服务人员签订保密协议。保密协议应当向采购人报备。</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每季度至少开展1次对服务人员进行保密、思想政治教育的培训，提高服务人员保密意识和思想政治意识。新入职员工应当接受保密、思想政治教育培训，进行必要的人员经历审查，合格后签订保密协议方可上岗。</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4）发现服务人员违法违规或重大过失，及时报告采购人，并采取必要补救措施。</w:t>
                  </w:r>
                </w:p>
              </w:tc>
            </w:tr>
            <w:tr>
              <w:tc>
                <w:tcPr>
                  <w:tcW w:type="dxa" w:w="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4</w:t>
                  </w:r>
                </w:p>
              </w:tc>
              <w:tc>
                <w:tcPr>
                  <w:tcW w:type="dxa" w:w="8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档案管理</w:t>
                  </w:r>
                </w:p>
              </w:tc>
              <w:tc>
                <w:tcPr>
                  <w:tcW w:type="dxa" w:w="8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1）建立物业信息，准确、及时地对文件资料和服务记录进行归档保存，并确保其物理安全。</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档案和记录齐全，包括但不限于：①采购人建议与投诉等。教育培训和考核记录。保密、思想政治教育培训记录。②房屋维护服务：房屋台账、使用说明、房屋装修、维保记录等。③公用设施设备维护服务：设备台账、设备卡、使用说明、维保记录、巡查记录、设施设备安全运行、设施设备定期巡检、维护保养、维修档案等。④保安服务：监控记录、突发事件演习与处置记录等。⑤保洁服务：工作日志、清洁检查表、用品清单、客户反馈表等。⑥绿化服务：绿化总平面图、清洁整改记录、消杀记录等。⑦其他：客户信息、财务明细、合同协议、信报信息登记、大件物品进出登记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3）遵守采购人的信息、档案资料保密要求，未经许可，不得将建筑物平面图等资料转作其他用途或向其他单位、个人提供。</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4）履约结束后，相关资料交还采购人，采购人按政府采购相关规定存档。</w:t>
                  </w:r>
                </w:p>
              </w:tc>
            </w:tr>
            <w:tr>
              <w:tc>
                <w:tcPr>
                  <w:tcW w:type="dxa" w:w="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5</w:t>
                  </w:r>
                </w:p>
              </w:tc>
              <w:tc>
                <w:tcPr>
                  <w:tcW w:type="dxa" w:w="8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分包供应商管理</w:t>
                  </w:r>
                </w:p>
              </w:tc>
              <w:tc>
                <w:tcPr>
                  <w:tcW w:type="dxa" w:w="8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1）合理控制外包服务人员数量和流动率。</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2）根据采购人要求明确对分包供应商的要求，确定工作流程。</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3）明确安全管理责任和保密责任，签订安全管理责任书和保密责任书。</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4）开展服务检查和监管，评估服务效果，必要时进行服务流程调整。</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5）根据工作反馈意见与建议，持续提升服务品质。</w:t>
                  </w:r>
                </w:p>
              </w:tc>
            </w:tr>
            <w:tr>
              <w:tc>
                <w:tcPr>
                  <w:tcW w:type="dxa" w:w="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6</w:t>
                  </w:r>
                </w:p>
                <w:p>
                  <w:pPr>
                    <w:pStyle w:val="null3"/>
                    <w:jc w:val="both"/>
                  </w:pPr>
                  <w:r>
                    <w:rPr>
                      <w:rFonts w:ascii="仿宋_GB2312" w:hAnsi="仿宋_GB2312" w:cs="仿宋_GB2312" w:eastAsia="仿宋_GB2312"/>
                      <w:sz w:val="24"/>
                    </w:rPr>
                    <w:t xml:space="preserve"> </w:t>
                  </w:r>
                </w:p>
              </w:tc>
              <w:tc>
                <w:tcPr>
                  <w:tcW w:type="dxa" w:w="8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服务改进</w:t>
                  </w:r>
                </w:p>
                <w:p>
                  <w:pPr>
                    <w:pStyle w:val="null3"/>
                    <w:jc w:val="both"/>
                  </w:pPr>
                  <w:r>
                    <w:rPr>
                      <w:rFonts w:ascii="仿宋_GB2312" w:hAnsi="仿宋_GB2312" w:cs="仿宋_GB2312" w:eastAsia="仿宋_GB2312"/>
                      <w:sz w:val="24"/>
                    </w:rPr>
                    <w:t xml:space="preserve"> </w:t>
                  </w:r>
                </w:p>
              </w:tc>
              <w:tc>
                <w:tcPr>
                  <w:tcW w:type="dxa" w:w="8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1）明确负责人，定期对物业服务过程进行自查，结合反馈意见与评价结果采取改进措施，持续提升管理与服务水平。</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2）对不合格服务进行控制，对不合格服务的原因进行识别和分析，及时采取纠正措施，消除不合格的原因，防止不合格再发生。</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3）需整改问题及时整改完成。</w:t>
                  </w:r>
                </w:p>
              </w:tc>
            </w:tr>
            <w:tr>
              <w:tc>
                <w:tcPr>
                  <w:tcW w:type="dxa" w:w="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7</w:t>
                  </w:r>
                </w:p>
              </w:tc>
              <w:tc>
                <w:tcPr>
                  <w:tcW w:type="dxa" w:w="8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重大活动后勤保障</w:t>
                  </w:r>
                </w:p>
              </w:tc>
              <w:tc>
                <w:tcPr>
                  <w:tcW w:type="dxa" w:w="8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1）制订流程。配合采购人制订重大活动后勤保障工作流程，需对任务进行详细了解，并根据工作安排制定详细的后勤保障计划。</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实施保障。按计划在关键区域和重点部位进行部署，确保任务顺利进行，对活动区域进行全面安全检查，发现并排除安全隐患，对车辆进行有序引导和管理，确保交通安全畅通，以礼貌、专业的态度对待来宾，展现良好形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3）收尾工作。对现场进行检查，做好清理工作。</w:t>
                  </w:r>
                </w:p>
              </w:tc>
            </w:tr>
            <w:tr>
              <w:tc>
                <w:tcPr>
                  <w:tcW w:type="dxa" w:w="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8</w:t>
                  </w:r>
                </w:p>
              </w:tc>
              <w:tc>
                <w:tcPr>
                  <w:tcW w:type="dxa" w:w="8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应急保障预案</w:t>
                  </w:r>
                </w:p>
              </w:tc>
              <w:tc>
                <w:tcPr>
                  <w:tcW w:type="dxa" w:w="8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重点区域及安全隐患排查。结合项目的实际情况，对重点部位及危险隐患进行排查，并建立清单/台账；应当对危险隐患进行风险分析，制定相应措施进行控制或整改并定期监控；随着设施设备、服务内容的变化，及时更新清单/台账，使风险隐患始终处于受控状态。</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应急预案的建立。根据办公楼隐患排查的结果和实际情况，制定专项预案，包括但不限于：火情火警紧急处理应急预案、紧急疏散应急预案、停水停电应急预案、有限空间救援应急预案、高空作业救援应急预案、恶劣天气应对应急预案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3）应急预案的培训和演练。应急预案定期培训和演练，组织相关岗位每半年至少开展一次专项应急预案演练；留存培训及演练记录和影像资料，并对预案进行评价，确保与实际情况相结合。</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4）应急物资的管理。根据专项预案中的应对需要、必要的应急物资，建立清单或台账，并由专人定期对应急物资进行检查，如有应急物资不足，及时通知采购人购置齐全，确保能够随时正常使用。</w:t>
                  </w:r>
                </w:p>
              </w:tc>
            </w:tr>
            <w:tr>
              <w:tc>
                <w:tcPr>
                  <w:tcW w:type="dxa" w:w="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9</w:t>
                  </w:r>
                </w:p>
              </w:tc>
              <w:tc>
                <w:tcPr>
                  <w:tcW w:type="dxa" w:w="8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服务方案及工作制度</w:t>
                  </w:r>
                </w:p>
              </w:tc>
              <w:tc>
                <w:tcPr>
                  <w:tcW w:type="dxa" w:w="8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1）制定工作制度，主要包括：人员录用制度、档案管理制度、物业服务管理制度、公用设施设备相关管理制度等。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2）制定项目实施方案，主要包括：交接方案、人员培训方案、人员稳定性方案、保密方案等。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3）制定物业服务方案，主要包括：房屋维护服务方案、公用设施设备维护服务方案、绿化服务方案、保洁服务方案、保安服务方案、会议服务方案等。</w:t>
                  </w:r>
                </w:p>
              </w:tc>
            </w:tr>
            <w:tr>
              <w:tc>
                <w:tcPr>
                  <w:tcW w:type="dxa" w:w="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10</w:t>
                  </w:r>
                </w:p>
              </w:tc>
              <w:tc>
                <w:tcPr>
                  <w:tcW w:type="dxa" w:w="8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信报服务</w:t>
                  </w:r>
                </w:p>
              </w:tc>
              <w:tc>
                <w:tcPr>
                  <w:tcW w:type="dxa" w:w="8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1）对邮件、包裹和挂号信等进行正确分理、安全检查和防疫卫生检查。</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2）及时投送或通知收件人领取。</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3）大件物品出入向采购人报告，待采购人确认无误后放行。</w:t>
                  </w:r>
                </w:p>
              </w:tc>
            </w:tr>
            <w:tr>
              <w:tc>
                <w:tcPr>
                  <w:tcW w:type="dxa" w:w="8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11</w:t>
                  </w:r>
                </w:p>
              </w:tc>
              <w:tc>
                <w:tcPr>
                  <w:tcW w:type="dxa" w:w="8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服务热线及紧急维修</w:t>
                  </w:r>
                </w:p>
              </w:tc>
              <w:tc>
                <w:tcPr>
                  <w:tcW w:type="dxa" w:w="8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1）设置24小时报修服务热线。</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2）紧急维修应当15分钟内到达现场，不间断维修直至修复。</w:t>
                  </w:r>
                </w:p>
              </w:tc>
            </w:tr>
          </w:tbl>
          <w:p>
            <w:pPr>
              <w:pStyle w:val="null3"/>
              <w:jc w:val="both"/>
            </w:pPr>
            <w:r>
              <w:rPr>
                <w:rFonts w:ascii="仿宋_GB2312" w:hAnsi="仿宋_GB2312" w:cs="仿宋_GB2312" w:eastAsia="仿宋_GB2312"/>
                <w:sz w:val="24"/>
              </w:rPr>
              <w:t xml:space="preserve"> 3.2房屋维护服务</w:t>
            </w:r>
          </w:p>
          <w:tbl>
            <w:tblPr>
              <w:tblBorders>
                <w:top w:val="none" w:color="000000" w:sz="4"/>
                <w:left w:val="none" w:color="000000" w:sz="4"/>
                <w:bottom w:val="none" w:color="000000" w:sz="4"/>
                <w:right w:val="none" w:color="000000" w:sz="4"/>
                <w:insideH w:val="none"/>
                <w:insideV w:val="none"/>
              </w:tblBorders>
            </w:tblPr>
            <w:tblGrid>
              <w:gridCol w:w="218"/>
              <w:gridCol w:w="581"/>
              <w:gridCol w:w="1752"/>
            </w:tblGrid>
            <w:tr>
              <w:tc>
                <w:tcPr>
                  <w:tcW w:type="dxa" w:w="21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序号</w:t>
                  </w:r>
                </w:p>
              </w:tc>
              <w:tc>
                <w:tcPr>
                  <w:tcW w:type="dxa" w:w="58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服务内容</w:t>
                  </w:r>
                </w:p>
              </w:tc>
              <w:tc>
                <w:tcPr>
                  <w:tcW w:type="dxa" w:w="175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服务标准</w:t>
                  </w:r>
                </w:p>
              </w:tc>
            </w:tr>
            <w:tr>
              <w:tc>
                <w:tcPr>
                  <w:tcW w:type="dxa" w:w="218"/>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58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主体结构、围护结构、部品部件</w:t>
                  </w:r>
                </w:p>
              </w:tc>
              <w:tc>
                <w:tcPr>
                  <w:tcW w:type="dxa" w:w="17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1）每季度至少开展1次房屋结构安全巡视，发现外观有变形、开裂等现象，及时建议采购人申请房屋安全鉴定，并采取必要的避险和防护措施。</w:t>
                  </w:r>
                </w:p>
              </w:tc>
            </w:tr>
            <w:tr>
              <w:tc>
                <w:tcPr>
                  <w:tcW w:type="dxa" w:w="218"/>
                  <w:vMerge/>
                  <w:tcBorders>
                    <w:top w:val="none" w:color="000000" w:sz="4"/>
                    <w:left w:val="single" w:color="000000" w:sz="4"/>
                    <w:bottom w:val="single" w:color="000000" w:sz="4"/>
                    <w:right w:val="single" w:color="000000" w:sz="4"/>
                  </w:tcBorders>
                </w:tcPr>
                <w:p/>
              </w:tc>
              <w:tc>
                <w:tcPr>
                  <w:tcW w:type="dxa" w:w="581"/>
                  <w:vMerge/>
                  <w:tcBorders>
                    <w:top w:val="none" w:color="000000" w:sz="4"/>
                    <w:left w:val="none" w:color="000000" w:sz="4"/>
                    <w:bottom w:val="single" w:color="000000" w:sz="4"/>
                    <w:right w:val="single" w:color="000000" w:sz="4"/>
                  </w:tcBorders>
                </w:tcPr>
                <w:p/>
              </w:tc>
              <w:tc>
                <w:tcPr>
                  <w:tcW w:type="dxa" w:w="17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2）每季度至少开展1次外墙贴饰面、幕墙玻璃、雨篷、散水、空调室外机支撑构件等检查，发现破损，及时向采购人报告，按采购人要求出具维修方案，待采购人同意后按维修方案实施维修。</w:t>
                  </w:r>
                </w:p>
              </w:tc>
            </w:tr>
            <w:tr>
              <w:tc>
                <w:tcPr>
                  <w:tcW w:type="dxa" w:w="218"/>
                  <w:vMerge/>
                  <w:tcBorders>
                    <w:top w:val="none" w:color="000000" w:sz="4"/>
                    <w:left w:val="single" w:color="000000" w:sz="4"/>
                    <w:bottom w:val="single" w:color="000000" w:sz="4"/>
                    <w:right w:val="single" w:color="000000" w:sz="4"/>
                  </w:tcBorders>
                </w:tcPr>
                <w:p/>
              </w:tc>
              <w:tc>
                <w:tcPr>
                  <w:tcW w:type="dxa" w:w="581"/>
                  <w:vMerge/>
                  <w:tcBorders>
                    <w:top w:val="none" w:color="000000" w:sz="4"/>
                    <w:left w:val="none" w:color="000000" w:sz="4"/>
                    <w:bottom w:val="single" w:color="000000" w:sz="4"/>
                    <w:right w:val="single" w:color="000000" w:sz="4"/>
                  </w:tcBorders>
                </w:tcPr>
                <w:p/>
              </w:tc>
              <w:tc>
                <w:tcPr>
                  <w:tcW w:type="dxa" w:w="17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3）每半月至少开展1次公用部位的门、窗、楼梯、通风道、室内地面、墙面、吊顶和室外屋面等巡查，发现破损，及时向采购人报告，按采购人要求出具维修方案，待采购人同意后按维修方案实施维修。</w:t>
                  </w:r>
                </w:p>
              </w:tc>
            </w:tr>
            <w:tr>
              <w:tc>
                <w:tcPr>
                  <w:tcW w:type="dxa" w:w="218"/>
                  <w:vMerge/>
                  <w:tcBorders>
                    <w:top w:val="none" w:color="000000" w:sz="4"/>
                    <w:left w:val="single" w:color="000000" w:sz="4"/>
                    <w:bottom w:val="single" w:color="000000" w:sz="4"/>
                    <w:right w:val="single" w:color="000000" w:sz="4"/>
                  </w:tcBorders>
                </w:tcPr>
                <w:p/>
              </w:tc>
              <w:tc>
                <w:tcPr>
                  <w:tcW w:type="dxa" w:w="581"/>
                  <w:vMerge/>
                  <w:tcBorders>
                    <w:top w:val="none" w:color="000000" w:sz="4"/>
                    <w:left w:val="none" w:color="000000" w:sz="4"/>
                    <w:bottom w:val="single" w:color="000000" w:sz="4"/>
                    <w:right w:val="single" w:color="000000" w:sz="4"/>
                  </w:tcBorders>
                </w:tcPr>
                <w:p/>
              </w:tc>
              <w:tc>
                <w:tcPr>
                  <w:tcW w:type="dxa" w:w="17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4）每年强降雨天气前后、雨雪季节检查屋面防水和雨落管等，发现破损，及时向采购人报告，按采购人要求出具维修方案，待采购人同意后按维修方案实施维修。</w:t>
                  </w:r>
                </w:p>
              </w:tc>
            </w:tr>
            <w:tr>
              <w:tc>
                <w:tcPr>
                  <w:tcW w:type="dxa" w:w="218"/>
                  <w:vMerge/>
                  <w:tcBorders>
                    <w:top w:val="none" w:color="000000" w:sz="4"/>
                    <w:left w:val="single" w:color="000000" w:sz="4"/>
                    <w:bottom w:val="single" w:color="000000" w:sz="4"/>
                    <w:right w:val="single" w:color="000000" w:sz="4"/>
                  </w:tcBorders>
                </w:tcPr>
                <w:p/>
              </w:tc>
              <w:tc>
                <w:tcPr>
                  <w:tcW w:type="dxa" w:w="581"/>
                  <w:vMerge/>
                  <w:tcBorders>
                    <w:top w:val="none" w:color="000000" w:sz="4"/>
                    <w:left w:val="none" w:color="000000" w:sz="4"/>
                    <w:bottom w:val="single" w:color="000000" w:sz="4"/>
                    <w:right w:val="single" w:color="000000" w:sz="4"/>
                  </w:tcBorders>
                </w:tcPr>
                <w:p/>
              </w:tc>
              <w:tc>
                <w:tcPr>
                  <w:tcW w:type="dxa" w:w="17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5）办公楼外观完好，建筑装饰面无脱落、无破损、无污渍，玻璃幕墙清洁明亮、无破损。</w:t>
                  </w:r>
                </w:p>
              </w:tc>
            </w:tr>
            <w:tr>
              <w:tc>
                <w:tcPr>
                  <w:tcW w:type="dxa" w:w="218"/>
                  <w:vMerge/>
                  <w:tcBorders>
                    <w:top w:val="none" w:color="000000" w:sz="4"/>
                    <w:left w:val="single" w:color="000000" w:sz="4"/>
                    <w:bottom w:val="single" w:color="000000" w:sz="4"/>
                    <w:right w:val="single" w:color="000000" w:sz="4"/>
                  </w:tcBorders>
                </w:tcPr>
                <w:p/>
              </w:tc>
              <w:tc>
                <w:tcPr>
                  <w:tcW w:type="dxa" w:w="581"/>
                  <w:vMerge/>
                  <w:tcBorders>
                    <w:top w:val="none" w:color="000000" w:sz="4"/>
                    <w:left w:val="none" w:color="000000" w:sz="4"/>
                    <w:bottom w:val="single" w:color="000000" w:sz="4"/>
                    <w:right w:val="single" w:color="000000" w:sz="4"/>
                  </w:tcBorders>
                </w:tcPr>
                <w:p/>
              </w:tc>
              <w:tc>
                <w:tcPr>
                  <w:tcW w:type="dxa" w:w="17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6）通道、楼梯、门窗等设施的完好和正常使用。</w:t>
                  </w:r>
                </w:p>
              </w:tc>
            </w:tr>
            <w:tr>
              <w:tc>
                <w:tcPr>
                  <w:tcW w:type="dxa" w:w="218"/>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58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其他设施</w:t>
                  </w:r>
                </w:p>
              </w:tc>
              <w:tc>
                <w:tcPr>
                  <w:tcW w:type="dxa" w:w="17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每半月至少开展1次大门、围墙、道路、场地、管井、沟渠等巡查，每半月至少检查1次雨污水管井、化粪池等巡查，发现破损，及时向采购人报告，按采购人要求出具维修方案，待采购人同意后按维修方案实施维修。</w:t>
                  </w:r>
                </w:p>
              </w:tc>
            </w:tr>
            <w:tr>
              <w:tc>
                <w:tcPr>
                  <w:tcW w:type="dxa" w:w="218"/>
                  <w:vMerge/>
                  <w:tcBorders>
                    <w:top w:val="none" w:color="000000" w:sz="4"/>
                    <w:left w:val="single" w:color="000000" w:sz="4"/>
                    <w:bottom w:val="single" w:color="000000" w:sz="4"/>
                    <w:right w:val="single" w:color="000000" w:sz="4"/>
                  </w:tcBorders>
                </w:tcPr>
                <w:p/>
              </w:tc>
              <w:tc>
                <w:tcPr>
                  <w:tcW w:type="dxa" w:w="581"/>
                  <w:vMerge/>
                  <w:tcBorders>
                    <w:top w:val="none" w:color="000000" w:sz="4"/>
                    <w:left w:val="none" w:color="000000" w:sz="4"/>
                    <w:bottom w:val="single" w:color="000000" w:sz="4"/>
                    <w:right w:val="single" w:color="000000" w:sz="4"/>
                  </w:tcBorders>
                </w:tcPr>
                <w:p/>
              </w:tc>
              <w:tc>
                <w:tcPr>
                  <w:tcW w:type="dxa" w:w="17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2）每年至少开展1次防雷装置检测，发现失效，及时向采购人报告，按采购人要求出具维修方案，待采购人同意后按维修方案实施维修。</w:t>
                  </w:r>
                </w:p>
              </w:tc>
            </w:tr>
            <w:tr>
              <w:tc>
                <w:tcPr>
                  <w:tcW w:type="dxa" w:w="218"/>
                  <w:vMerge/>
                  <w:tcBorders>
                    <w:top w:val="none" w:color="000000" w:sz="4"/>
                    <w:left w:val="single" w:color="000000" w:sz="4"/>
                    <w:bottom w:val="single" w:color="000000" w:sz="4"/>
                    <w:right w:val="single" w:color="000000" w:sz="4"/>
                  </w:tcBorders>
                </w:tcPr>
                <w:p/>
              </w:tc>
              <w:tc>
                <w:tcPr>
                  <w:tcW w:type="dxa" w:w="581"/>
                  <w:vMerge/>
                  <w:tcBorders>
                    <w:top w:val="none" w:color="000000" w:sz="4"/>
                    <w:left w:val="none" w:color="000000" w:sz="4"/>
                    <w:bottom w:val="single" w:color="000000" w:sz="4"/>
                    <w:right w:val="single" w:color="000000" w:sz="4"/>
                  </w:tcBorders>
                </w:tcPr>
                <w:p/>
              </w:tc>
              <w:tc>
                <w:tcPr>
                  <w:tcW w:type="dxa" w:w="17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3）路面状态良好，地漏通畅不堵塞。</w:t>
                  </w:r>
                </w:p>
              </w:tc>
            </w:tr>
            <w:tr>
              <w:tc>
                <w:tcPr>
                  <w:tcW w:type="dxa" w:w="218"/>
                  <w:vMerge/>
                  <w:tcBorders>
                    <w:top w:val="none" w:color="000000" w:sz="4"/>
                    <w:left w:val="single" w:color="000000" w:sz="4"/>
                    <w:bottom w:val="single" w:color="000000" w:sz="4"/>
                    <w:right w:val="single" w:color="000000" w:sz="4"/>
                  </w:tcBorders>
                </w:tcPr>
                <w:p/>
              </w:tc>
              <w:tc>
                <w:tcPr>
                  <w:tcW w:type="dxa" w:w="581"/>
                  <w:vMerge/>
                  <w:tcBorders>
                    <w:top w:val="none" w:color="000000" w:sz="4"/>
                    <w:left w:val="none" w:color="000000" w:sz="4"/>
                    <w:bottom w:val="single" w:color="000000" w:sz="4"/>
                    <w:right w:val="single" w:color="000000" w:sz="4"/>
                  </w:tcBorders>
                </w:tcPr>
                <w:p/>
              </w:tc>
              <w:tc>
                <w:tcPr>
                  <w:tcW w:type="dxa" w:w="17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4）接到采购人家具报修服务后，及时通知家具供货商对保修期内的家具进行维修，及时对保修期外的家具进行维修。</w:t>
                  </w:r>
                </w:p>
              </w:tc>
            </w:tr>
            <w:tr>
              <w:tc>
                <w:tcPr>
                  <w:tcW w:type="dxa" w:w="218"/>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3</w:t>
                  </w:r>
                </w:p>
              </w:tc>
              <w:tc>
                <w:tcPr>
                  <w:tcW w:type="dxa" w:w="58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装饰装修监督管理</w:t>
                  </w:r>
                </w:p>
              </w:tc>
              <w:tc>
                <w:tcPr>
                  <w:tcW w:type="dxa" w:w="17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1）装饰装修前，供应商应当与采购人或采购人委托的装修企业签订装饰装修管理服务协议，告知装饰装修须知，并对装饰装修过程进行管理服务。</w:t>
                  </w:r>
                </w:p>
              </w:tc>
            </w:tr>
            <w:tr>
              <w:tc>
                <w:tcPr>
                  <w:tcW w:type="dxa" w:w="218"/>
                  <w:vMerge/>
                  <w:tcBorders>
                    <w:top w:val="none" w:color="000000" w:sz="4"/>
                    <w:left w:val="single" w:color="000000" w:sz="4"/>
                    <w:bottom w:val="single" w:color="000000" w:sz="4"/>
                    <w:right w:val="single" w:color="000000" w:sz="4"/>
                  </w:tcBorders>
                </w:tcPr>
                <w:p/>
              </w:tc>
              <w:tc>
                <w:tcPr>
                  <w:tcW w:type="dxa" w:w="581"/>
                  <w:vMerge/>
                  <w:tcBorders>
                    <w:top w:val="none" w:color="000000" w:sz="4"/>
                    <w:left w:val="none" w:color="000000" w:sz="4"/>
                    <w:bottom w:val="single" w:color="000000" w:sz="4"/>
                    <w:right w:val="single" w:color="000000" w:sz="4"/>
                  </w:tcBorders>
                </w:tcPr>
                <w:p/>
              </w:tc>
              <w:tc>
                <w:tcPr>
                  <w:tcW w:type="dxa" w:w="17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2）根据协议内容，做好装修垃圾临时堆放、清运等。</w:t>
                  </w:r>
                </w:p>
              </w:tc>
            </w:tr>
            <w:tr>
              <w:tc>
                <w:tcPr>
                  <w:tcW w:type="dxa" w:w="218"/>
                  <w:vMerge/>
                  <w:tcBorders>
                    <w:top w:val="none" w:color="000000" w:sz="4"/>
                    <w:left w:val="single" w:color="000000" w:sz="4"/>
                    <w:bottom w:val="single" w:color="000000" w:sz="4"/>
                    <w:right w:val="single" w:color="000000" w:sz="4"/>
                  </w:tcBorders>
                </w:tcPr>
                <w:p/>
              </w:tc>
              <w:tc>
                <w:tcPr>
                  <w:tcW w:type="dxa" w:w="581"/>
                  <w:vMerge/>
                  <w:tcBorders>
                    <w:top w:val="none" w:color="000000" w:sz="4"/>
                    <w:left w:val="none" w:color="000000" w:sz="4"/>
                    <w:bottom w:val="single" w:color="000000" w:sz="4"/>
                    <w:right w:val="single" w:color="000000" w:sz="4"/>
                  </w:tcBorders>
                </w:tcPr>
                <w:p/>
              </w:tc>
              <w:tc>
                <w:tcPr>
                  <w:tcW w:type="dxa" w:w="17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3）受采购人委托对房屋内装修进行严格的监督管理，发现问题及时上报，确保不因装修而危及大楼结构安全、人身安全和影响正常办公秩序。</w:t>
                  </w:r>
                </w:p>
              </w:tc>
            </w:tr>
            <w:tr>
              <w:tc>
                <w:tcPr>
                  <w:tcW w:type="dxa" w:w="218"/>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4</w:t>
                  </w:r>
                </w:p>
              </w:tc>
              <w:tc>
                <w:tcPr>
                  <w:tcW w:type="dxa" w:w="58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标识标牌</w:t>
                  </w:r>
                </w:p>
              </w:tc>
              <w:tc>
                <w:tcPr>
                  <w:tcW w:type="dxa" w:w="17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1）标识标牌符合《公共信息图形符号 第1部分：通用符号》（GB/T 10001.1）的相关要求，消防与安全标识符合《安全标志及其使用导则》（GB2894）、《消防安全标志　第1部分：标志》（GB13495.1）的相关要求。</w:t>
                  </w:r>
                </w:p>
              </w:tc>
            </w:tr>
            <w:tr>
              <w:tc>
                <w:tcPr>
                  <w:tcW w:type="dxa" w:w="218"/>
                  <w:vMerge/>
                  <w:tcBorders>
                    <w:top w:val="none" w:color="000000" w:sz="4"/>
                    <w:left w:val="single" w:color="000000" w:sz="4"/>
                    <w:bottom w:val="single" w:color="000000" w:sz="4"/>
                    <w:right w:val="single" w:color="000000" w:sz="4"/>
                  </w:tcBorders>
                </w:tcPr>
                <w:p/>
              </w:tc>
              <w:tc>
                <w:tcPr>
                  <w:tcW w:type="dxa" w:w="581"/>
                  <w:vMerge/>
                  <w:tcBorders>
                    <w:top w:val="none" w:color="000000" w:sz="4"/>
                    <w:left w:val="none" w:color="000000" w:sz="4"/>
                    <w:bottom w:val="single" w:color="000000" w:sz="4"/>
                    <w:right w:val="single" w:color="000000" w:sz="4"/>
                  </w:tcBorders>
                </w:tcPr>
                <w:p/>
              </w:tc>
              <w:tc>
                <w:tcPr>
                  <w:tcW w:type="dxa" w:w="175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2）每月至少检查1次标识标牌和消防与安全标识。应当规范清晰、路线指引正确、安装稳固。</w:t>
                  </w:r>
                </w:p>
              </w:tc>
            </w:tr>
          </w:tbl>
          <w:p>
            <w:pPr>
              <w:pStyle w:val="null3"/>
              <w:jc w:val="both"/>
            </w:pPr>
            <w:r>
              <w:rPr>
                <w:rFonts w:ascii="仿宋_GB2312" w:hAnsi="仿宋_GB2312" w:cs="仿宋_GB2312" w:eastAsia="仿宋_GB2312"/>
                <w:sz w:val="24"/>
              </w:rPr>
              <w:t>3.3公用设施设备维护服务</w:t>
            </w:r>
          </w:p>
          <w:tbl>
            <w:tblPr>
              <w:tblBorders>
                <w:top w:val="none" w:color="000000" w:sz="4"/>
                <w:left w:val="none" w:color="000000" w:sz="4"/>
                <w:bottom w:val="none" w:color="000000" w:sz="4"/>
                <w:right w:val="none" w:color="000000" w:sz="4"/>
                <w:insideH w:val="none"/>
                <w:insideV w:val="none"/>
              </w:tblBorders>
            </w:tblPr>
            <w:tblGrid>
              <w:gridCol w:w="215"/>
              <w:gridCol w:w="450"/>
              <w:gridCol w:w="1886"/>
            </w:tblGrid>
            <w:tr>
              <w:tc>
                <w:tcPr>
                  <w:tcW w:type="dxa" w:w="21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序号</w:t>
                  </w:r>
                </w:p>
              </w:tc>
              <w:tc>
                <w:tcPr>
                  <w:tcW w:type="dxa" w:w="45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服务内容</w:t>
                  </w:r>
                </w:p>
              </w:tc>
              <w:tc>
                <w:tcPr>
                  <w:tcW w:type="dxa" w:w="188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服务标准</w:t>
                  </w:r>
                </w:p>
              </w:tc>
            </w:tr>
            <w:tr>
              <w:tc>
                <w:tcPr>
                  <w:tcW w:type="dxa" w:w="21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45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基本要求</w:t>
                  </w:r>
                </w:p>
              </w:tc>
              <w:tc>
                <w:tcPr>
                  <w:tcW w:type="dxa" w:w="1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1）重大节假日及恶劣天气前后，组织系统巡检1次。</w:t>
                  </w:r>
                </w:p>
              </w:tc>
            </w:tr>
            <w:tr>
              <w:tc>
                <w:tcPr>
                  <w:tcW w:type="dxa" w:w="215"/>
                  <w:vMerge/>
                  <w:tcBorders>
                    <w:top w:val="none" w:color="000000" w:sz="4"/>
                    <w:left w:val="single" w:color="000000" w:sz="4"/>
                    <w:bottom w:val="single" w:color="000000" w:sz="4"/>
                    <w:right w:val="single" w:color="000000" w:sz="4"/>
                  </w:tcBorders>
                </w:tcPr>
                <w:p/>
              </w:tc>
              <w:tc>
                <w:tcPr>
                  <w:tcW w:type="dxa" w:w="450"/>
                  <w:vMerge/>
                  <w:tcBorders>
                    <w:top w:val="none" w:color="000000" w:sz="4"/>
                    <w:left w:val="none" w:color="000000" w:sz="4"/>
                    <w:bottom w:val="single" w:color="000000" w:sz="4"/>
                    <w:right w:val="single" w:color="000000" w:sz="4"/>
                  </w:tcBorders>
                </w:tcPr>
                <w:p/>
              </w:tc>
              <w:tc>
                <w:tcPr>
                  <w:tcW w:type="dxa" w:w="1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2）具备设施设备安全、稳定运行的环境和场所（含有限空间），温湿度、照度、粉尘和烟雾浓度等符合相关安全规范。</w:t>
                  </w:r>
                </w:p>
              </w:tc>
            </w:tr>
            <w:tr>
              <w:tc>
                <w:tcPr>
                  <w:tcW w:type="dxa" w:w="21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45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设备机房</w:t>
                  </w:r>
                </w:p>
              </w:tc>
              <w:tc>
                <w:tcPr>
                  <w:tcW w:type="dxa" w:w="1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设备机房门口有机房类别及安全标志。落实各类机房责任人、督查人，且设备系统图、应急预案流程图、管理制度、特种作业人员资格证书等上墙文件或证书符合各设备机房国家标准规范要求，机房巡视及外来人员记录清晰完整，标识统一。</w:t>
                  </w:r>
                </w:p>
              </w:tc>
            </w:tr>
            <w:tr>
              <w:tc>
                <w:tcPr>
                  <w:tcW w:type="dxa" w:w="215"/>
                  <w:vMerge/>
                  <w:tcBorders>
                    <w:top w:val="none" w:color="000000" w:sz="4"/>
                    <w:left w:val="single" w:color="000000" w:sz="4"/>
                    <w:bottom w:val="single" w:color="000000" w:sz="4"/>
                    <w:right w:val="single" w:color="000000" w:sz="4"/>
                  </w:tcBorders>
                </w:tcPr>
                <w:p/>
              </w:tc>
              <w:tc>
                <w:tcPr>
                  <w:tcW w:type="dxa" w:w="450"/>
                  <w:vMerge/>
                  <w:tcBorders>
                    <w:top w:val="none" w:color="000000" w:sz="4"/>
                    <w:left w:val="none" w:color="000000" w:sz="4"/>
                    <w:bottom w:val="single" w:color="000000" w:sz="4"/>
                    <w:right w:val="single" w:color="000000" w:sz="4"/>
                  </w:tcBorders>
                </w:tcPr>
                <w:p/>
              </w:tc>
              <w:tc>
                <w:tcPr>
                  <w:tcW w:type="dxa" w:w="1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2）设备机房门窗、锁具应当完好、有效。</w:t>
                  </w:r>
                </w:p>
              </w:tc>
            </w:tr>
            <w:tr>
              <w:tc>
                <w:tcPr>
                  <w:tcW w:type="dxa" w:w="215"/>
                  <w:vMerge/>
                  <w:tcBorders>
                    <w:top w:val="none" w:color="000000" w:sz="4"/>
                    <w:left w:val="single" w:color="000000" w:sz="4"/>
                    <w:bottom w:val="single" w:color="000000" w:sz="4"/>
                    <w:right w:val="single" w:color="000000" w:sz="4"/>
                  </w:tcBorders>
                </w:tcPr>
                <w:p/>
              </w:tc>
              <w:tc>
                <w:tcPr>
                  <w:tcW w:type="dxa" w:w="450"/>
                  <w:vMerge/>
                  <w:tcBorders>
                    <w:top w:val="none" w:color="000000" w:sz="4"/>
                    <w:left w:val="none" w:color="000000" w:sz="4"/>
                    <w:bottom w:val="single" w:color="000000" w:sz="4"/>
                    <w:right w:val="single" w:color="000000" w:sz="4"/>
                  </w:tcBorders>
                </w:tcPr>
                <w:p/>
              </w:tc>
              <w:tc>
                <w:tcPr>
                  <w:tcW w:type="dxa" w:w="1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3）每半月至少开展1次清洁，整洁有序、无杂物、无积尘、无鼠、无虫害，温湿度符合设备运行要求。</w:t>
                  </w:r>
                </w:p>
              </w:tc>
            </w:tr>
            <w:tr>
              <w:tc>
                <w:tcPr>
                  <w:tcW w:type="dxa" w:w="215"/>
                  <w:vMerge/>
                  <w:tcBorders>
                    <w:top w:val="none" w:color="000000" w:sz="4"/>
                    <w:left w:val="single" w:color="000000" w:sz="4"/>
                    <w:bottom w:val="single" w:color="000000" w:sz="4"/>
                    <w:right w:val="single" w:color="000000" w:sz="4"/>
                  </w:tcBorders>
                </w:tcPr>
                <w:p/>
              </w:tc>
              <w:tc>
                <w:tcPr>
                  <w:tcW w:type="dxa" w:w="450"/>
                  <w:vMerge/>
                  <w:tcBorders>
                    <w:top w:val="none" w:color="000000" w:sz="4"/>
                    <w:left w:val="none" w:color="000000" w:sz="4"/>
                    <w:bottom w:val="single" w:color="000000" w:sz="4"/>
                    <w:right w:val="single" w:color="000000" w:sz="4"/>
                  </w:tcBorders>
                </w:tcPr>
                <w:p/>
              </w:tc>
              <w:tc>
                <w:tcPr>
                  <w:tcW w:type="dxa" w:w="1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4）按各设备机房国家标准规范规定维护/保管消防、通风、应急照明，防止小动物进入。</w:t>
                  </w:r>
                </w:p>
              </w:tc>
            </w:tr>
            <w:tr>
              <w:tc>
                <w:tcPr>
                  <w:tcW w:type="dxa" w:w="215"/>
                  <w:vMerge/>
                  <w:tcBorders>
                    <w:top w:val="none" w:color="000000" w:sz="4"/>
                    <w:left w:val="single" w:color="000000" w:sz="4"/>
                    <w:bottom w:val="single" w:color="000000" w:sz="4"/>
                    <w:right w:val="single" w:color="000000" w:sz="4"/>
                  </w:tcBorders>
                </w:tcPr>
                <w:p/>
              </w:tc>
              <w:tc>
                <w:tcPr>
                  <w:tcW w:type="dxa" w:w="450"/>
                  <w:vMerge/>
                  <w:tcBorders>
                    <w:top w:val="none" w:color="000000" w:sz="4"/>
                    <w:left w:val="none" w:color="000000" w:sz="4"/>
                    <w:bottom w:val="single" w:color="000000" w:sz="4"/>
                    <w:right w:val="single" w:color="000000" w:sz="4"/>
                  </w:tcBorders>
                </w:tcPr>
                <w:p/>
              </w:tc>
              <w:tc>
                <w:tcPr>
                  <w:tcW w:type="dxa" w:w="1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5）安全防护用具配置齐全，检验合格。</w:t>
                  </w:r>
                </w:p>
              </w:tc>
            </w:tr>
            <w:tr>
              <w:tc>
                <w:tcPr>
                  <w:tcW w:type="dxa" w:w="215"/>
                  <w:vMerge/>
                  <w:tcBorders>
                    <w:top w:val="none" w:color="000000" w:sz="4"/>
                    <w:left w:val="single" w:color="000000" w:sz="4"/>
                    <w:bottom w:val="single" w:color="000000" w:sz="4"/>
                    <w:right w:val="single" w:color="000000" w:sz="4"/>
                  </w:tcBorders>
                </w:tcPr>
                <w:p/>
              </w:tc>
              <w:tc>
                <w:tcPr>
                  <w:tcW w:type="dxa" w:w="450"/>
                  <w:vMerge/>
                  <w:tcBorders>
                    <w:top w:val="none" w:color="000000" w:sz="4"/>
                    <w:left w:val="none" w:color="000000" w:sz="4"/>
                    <w:bottom w:val="single" w:color="000000" w:sz="4"/>
                    <w:right w:val="single" w:color="000000" w:sz="4"/>
                  </w:tcBorders>
                </w:tcPr>
                <w:p/>
              </w:tc>
              <w:tc>
                <w:tcPr>
                  <w:tcW w:type="dxa" w:w="1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6）应急设施设备用品应当齐全、完备，可随时启用。</w:t>
                  </w:r>
                </w:p>
              </w:tc>
            </w:tr>
            <w:tr>
              <w:tc>
                <w:tcPr>
                  <w:tcW w:type="dxa" w:w="21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3</w:t>
                  </w:r>
                </w:p>
              </w:tc>
              <w:tc>
                <w:tcPr>
                  <w:tcW w:type="dxa" w:w="45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给排水系统</w:t>
                  </w:r>
                </w:p>
              </w:tc>
              <w:tc>
                <w:tcPr>
                  <w:tcW w:type="dxa" w:w="1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1）生活饮用水卫生符合《生活饮用水卫生标准》（GB5749）的相关要求。</w:t>
                  </w:r>
                </w:p>
              </w:tc>
            </w:tr>
            <w:tr>
              <w:tc>
                <w:tcPr>
                  <w:tcW w:type="dxa" w:w="215"/>
                  <w:vMerge/>
                  <w:tcBorders>
                    <w:top w:val="none" w:color="000000" w:sz="4"/>
                    <w:left w:val="single" w:color="000000" w:sz="4"/>
                    <w:bottom w:val="single" w:color="000000" w:sz="4"/>
                    <w:right w:val="single" w:color="000000" w:sz="4"/>
                  </w:tcBorders>
                </w:tcPr>
                <w:p/>
              </w:tc>
              <w:tc>
                <w:tcPr>
                  <w:tcW w:type="dxa" w:w="450"/>
                  <w:vMerge/>
                  <w:tcBorders>
                    <w:top w:val="none" w:color="000000" w:sz="4"/>
                    <w:left w:val="none" w:color="000000" w:sz="4"/>
                    <w:bottom w:val="single" w:color="000000" w:sz="4"/>
                    <w:right w:val="single" w:color="000000" w:sz="4"/>
                  </w:tcBorders>
                </w:tcPr>
                <w:p/>
              </w:tc>
              <w:tc>
                <w:tcPr>
                  <w:tcW w:type="dxa" w:w="1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2）二次供水卫生符合《二次供水设施卫生规范》（GB17051）的相关要求。</w:t>
                  </w:r>
                </w:p>
              </w:tc>
            </w:tr>
            <w:tr>
              <w:tc>
                <w:tcPr>
                  <w:tcW w:type="dxa" w:w="215"/>
                  <w:vMerge/>
                  <w:tcBorders>
                    <w:top w:val="none" w:color="000000" w:sz="4"/>
                    <w:left w:val="single" w:color="000000" w:sz="4"/>
                    <w:bottom w:val="single" w:color="000000" w:sz="4"/>
                    <w:right w:val="single" w:color="000000" w:sz="4"/>
                  </w:tcBorders>
                </w:tcPr>
                <w:p/>
              </w:tc>
              <w:tc>
                <w:tcPr>
                  <w:tcW w:type="dxa" w:w="450"/>
                  <w:vMerge/>
                  <w:tcBorders>
                    <w:top w:val="none" w:color="000000" w:sz="4"/>
                    <w:left w:val="none" w:color="000000" w:sz="4"/>
                    <w:bottom w:val="single" w:color="000000" w:sz="4"/>
                    <w:right w:val="single" w:color="000000" w:sz="4"/>
                  </w:tcBorders>
                </w:tcPr>
                <w:p/>
              </w:tc>
              <w:tc>
                <w:tcPr>
                  <w:tcW w:type="dxa" w:w="1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3）设施设备、阀门、管道等运行正常，无跑、冒、滴、漏现象。</w:t>
                  </w:r>
                </w:p>
              </w:tc>
            </w:tr>
            <w:tr>
              <w:tc>
                <w:tcPr>
                  <w:tcW w:type="dxa" w:w="215"/>
                  <w:vMerge/>
                  <w:tcBorders>
                    <w:top w:val="none" w:color="000000" w:sz="4"/>
                    <w:left w:val="single" w:color="000000" w:sz="4"/>
                    <w:bottom w:val="single" w:color="000000" w:sz="4"/>
                    <w:right w:val="single" w:color="000000" w:sz="4"/>
                  </w:tcBorders>
                </w:tcPr>
                <w:p/>
              </w:tc>
              <w:tc>
                <w:tcPr>
                  <w:tcW w:type="dxa" w:w="450"/>
                  <w:vMerge/>
                  <w:tcBorders>
                    <w:top w:val="none" w:color="000000" w:sz="4"/>
                    <w:left w:val="none" w:color="000000" w:sz="4"/>
                    <w:bottom w:val="single" w:color="000000" w:sz="4"/>
                    <w:right w:val="single" w:color="000000" w:sz="4"/>
                  </w:tcBorders>
                </w:tcPr>
                <w:p/>
              </w:tc>
              <w:tc>
                <w:tcPr>
                  <w:tcW w:type="dxa" w:w="1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4）有水泵房、水箱间的，每日至少巡视1次。每年至少养护1次水泵。</w:t>
                  </w:r>
                </w:p>
              </w:tc>
            </w:tr>
            <w:tr>
              <w:tc>
                <w:tcPr>
                  <w:tcW w:type="dxa" w:w="215"/>
                  <w:vMerge/>
                  <w:tcBorders>
                    <w:top w:val="none" w:color="000000" w:sz="4"/>
                    <w:left w:val="single" w:color="000000" w:sz="4"/>
                    <w:bottom w:val="single" w:color="000000" w:sz="4"/>
                    <w:right w:val="single" w:color="000000" w:sz="4"/>
                  </w:tcBorders>
                </w:tcPr>
                <w:p/>
              </w:tc>
              <w:tc>
                <w:tcPr>
                  <w:tcW w:type="dxa" w:w="450"/>
                  <w:vMerge/>
                  <w:tcBorders>
                    <w:top w:val="none" w:color="000000" w:sz="4"/>
                    <w:left w:val="none" w:color="000000" w:sz="4"/>
                    <w:bottom w:val="single" w:color="000000" w:sz="4"/>
                    <w:right w:val="single" w:color="000000" w:sz="4"/>
                  </w:tcBorders>
                </w:tcPr>
                <w:p/>
              </w:tc>
              <w:tc>
                <w:tcPr>
                  <w:tcW w:type="dxa" w:w="1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5）遇供水单位限水、停水，按规定时间通知采购人。</w:t>
                  </w:r>
                </w:p>
              </w:tc>
            </w:tr>
            <w:tr>
              <w:tc>
                <w:tcPr>
                  <w:tcW w:type="dxa" w:w="215"/>
                  <w:vMerge/>
                  <w:tcBorders>
                    <w:top w:val="none" w:color="000000" w:sz="4"/>
                    <w:left w:val="single" w:color="000000" w:sz="4"/>
                    <w:bottom w:val="single" w:color="000000" w:sz="4"/>
                    <w:right w:val="single" w:color="000000" w:sz="4"/>
                  </w:tcBorders>
                </w:tcPr>
                <w:p/>
              </w:tc>
              <w:tc>
                <w:tcPr>
                  <w:tcW w:type="dxa" w:w="450"/>
                  <w:vMerge/>
                  <w:tcBorders>
                    <w:top w:val="none" w:color="000000" w:sz="4"/>
                    <w:left w:val="none" w:color="000000" w:sz="4"/>
                    <w:bottom w:val="single" w:color="000000" w:sz="4"/>
                    <w:right w:val="single" w:color="000000" w:sz="4"/>
                  </w:tcBorders>
                </w:tcPr>
                <w:p/>
              </w:tc>
              <w:tc>
                <w:tcPr>
                  <w:tcW w:type="dxa" w:w="1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6）每季度至少开展1次对排水管进行疏通、清污，保证室内外排水系统通畅。</w:t>
                  </w:r>
                </w:p>
              </w:tc>
            </w:tr>
            <w:tr>
              <w:tc>
                <w:tcPr>
                  <w:tcW w:type="dxa" w:w="21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4</w:t>
                  </w:r>
                </w:p>
              </w:tc>
              <w:tc>
                <w:tcPr>
                  <w:tcW w:type="dxa" w:w="45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电梯系统</w:t>
                  </w:r>
                </w:p>
              </w:tc>
              <w:tc>
                <w:tcPr>
                  <w:tcW w:type="dxa" w:w="1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1）电梯运行平稳、无异响、平层、开关正常。每周至少开展2次电梯的安全状况检查。</w:t>
                  </w:r>
                </w:p>
              </w:tc>
            </w:tr>
            <w:tr>
              <w:tc>
                <w:tcPr>
                  <w:tcW w:type="dxa" w:w="215"/>
                  <w:vMerge/>
                  <w:tcBorders>
                    <w:top w:val="none" w:color="000000" w:sz="4"/>
                    <w:left w:val="single" w:color="000000" w:sz="4"/>
                    <w:bottom w:val="single" w:color="000000" w:sz="4"/>
                    <w:right w:val="single" w:color="000000" w:sz="4"/>
                  </w:tcBorders>
                </w:tcPr>
                <w:p/>
              </w:tc>
              <w:tc>
                <w:tcPr>
                  <w:tcW w:type="dxa" w:w="450"/>
                  <w:vMerge/>
                  <w:tcBorders>
                    <w:top w:val="none" w:color="000000" w:sz="4"/>
                    <w:left w:val="none" w:color="000000" w:sz="4"/>
                    <w:bottom w:val="single" w:color="000000" w:sz="4"/>
                    <w:right w:val="single" w:color="000000" w:sz="4"/>
                  </w:tcBorders>
                </w:tcPr>
                <w:p/>
              </w:tc>
              <w:tc>
                <w:tcPr>
                  <w:tcW w:type="dxa" w:w="1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2）电梯准用证、年检合格证等证件齐全。相关证件、紧急救援电话和乘客注意事项置于轿厢醒目位置。</w:t>
                  </w:r>
                </w:p>
              </w:tc>
            </w:tr>
            <w:tr>
              <w:tc>
                <w:tcPr>
                  <w:tcW w:type="dxa" w:w="215"/>
                  <w:vMerge/>
                  <w:tcBorders>
                    <w:top w:val="none" w:color="000000" w:sz="4"/>
                    <w:left w:val="single" w:color="000000" w:sz="4"/>
                    <w:bottom w:val="single" w:color="000000" w:sz="4"/>
                    <w:right w:val="single" w:color="000000" w:sz="4"/>
                  </w:tcBorders>
                </w:tcPr>
                <w:p/>
              </w:tc>
              <w:tc>
                <w:tcPr>
                  <w:tcW w:type="dxa" w:w="450"/>
                  <w:vMerge/>
                  <w:tcBorders>
                    <w:top w:val="none" w:color="000000" w:sz="4"/>
                    <w:left w:val="none" w:color="000000" w:sz="4"/>
                    <w:bottom w:val="single" w:color="000000" w:sz="4"/>
                    <w:right w:val="single" w:color="000000" w:sz="4"/>
                  </w:tcBorders>
                </w:tcPr>
                <w:p/>
              </w:tc>
              <w:tc>
                <w:tcPr>
                  <w:tcW w:type="dxa" w:w="1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3）每年至少开展1次对电梯的全面检测，并出具检测报告，核发电梯使用标志。</w:t>
                  </w:r>
                </w:p>
              </w:tc>
            </w:tr>
            <w:tr>
              <w:tc>
                <w:tcPr>
                  <w:tcW w:type="dxa" w:w="215"/>
                  <w:vMerge/>
                  <w:tcBorders>
                    <w:top w:val="none" w:color="000000" w:sz="4"/>
                    <w:left w:val="single" w:color="000000" w:sz="4"/>
                    <w:bottom w:val="single" w:color="000000" w:sz="4"/>
                    <w:right w:val="single" w:color="000000" w:sz="4"/>
                  </w:tcBorders>
                </w:tcPr>
                <w:p/>
              </w:tc>
              <w:tc>
                <w:tcPr>
                  <w:tcW w:type="dxa" w:w="450"/>
                  <w:vMerge/>
                  <w:tcBorders>
                    <w:top w:val="none" w:color="000000" w:sz="4"/>
                    <w:left w:val="none" w:color="000000" w:sz="4"/>
                    <w:bottom w:val="single" w:color="000000" w:sz="4"/>
                    <w:right w:val="single" w:color="000000" w:sz="4"/>
                  </w:tcBorders>
                </w:tcPr>
                <w:p/>
              </w:tc>
              <w:tc>
                <w:tcPr>
                  <w:tcW w:type="dxa" w:w="1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4）电梯维保应当符合《电梯维护保养规则》（TSG T5002）的有关要求。</w:t>
                  </w:r>
                </w:p>
              </w:tc>
            </w:tr>
            <w:tr>
              <w:tc>
                <w:tcPr>
                  <w:tcW w:type="dxa" w:w="215"/>
                  <w:vMerge/>
                  <w:tcBorders>
                    <w:top w:val="none" w:color="000000" w:sz="4"/>
                    <w:left w:val="single" w:color="000000" w:sz="4"/>
                    <w:bottom w:val="single" w:color="000000" w:sz="4"/>
                    <w:right w:val="single" w:color="000000" w:sz="4"/>
                  </w:tcBorders>
                </w:tcPr>
                <w:p/>
              </w:tc>
              <w:tc>
                <w:tcPr>
                  <w:tcW w:type="dxa" w:w="450"/>
                  <w:vMerge/>
                  <w:tcBorders>
                    <w:top w:val="none" w:color="000000" w:sz="4"/>
                    <w:left w:val="none" w:color="000000" w:sz="4"/>
                    <w:bottom w:val="single" w:color="000000" w:sz="4"/>
                    <w:right w:val="single" w:color="000000" w:sz="4"/>
                  </w:tcBorders>
                </w:tcPr>
                <w:p/>
              </w:tc>
              <w:tc>
                <w:tcPr>
                  <w:tcW w:type="dxa" w:w="1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5）电梯使用应当符合《特种设备使用管理规则》（TSG 08）的有关要求。</w:t>
                  </w:r>
                </w:p>
              </w:tc>
            </w:tr>
            <w:tr>
              <w:tc>
                <w:tcPr>
                  <w:tcW w:type="dxa" w:w="215"/>
                  <w:vMerge/>
                  <w:tcBorders>
                    <w:top w:val="none" w:color="000000" w:sz="4"/>
                    <w:left w:val="single" w:color="000000" w:sz="4"/>
                    <w:bottom w:val="single" w:color="000000" w:sz="4"/>
                    <w:right w:val="single" w:color="000000" w:sz="4"/>
                  </w:tcBorders>
                </w:tcPr>
                <w:p/>
              </w:tc>
              <w:tc>
                <w:tcPr>
                  <w:tcW w:type="dxa" w:w="450"/>
                  <w:vMerge/>
                  <w:tcBorders>
                    <w:top w:val="none" w:color="000000" w:sz="4"/>
                    <w:left w:val="none" w:color="000000" w:sz="4"/>
                    <w:bottom w:val="single" w:color="000000" w:sz="4"/>
                    <w:right w:val="single" w:color="000000" w:sz="4"/>
                  </w:tcBorders>
                </w:tcPr>
                <w:p/>
              </w:tc>
              <w:tc>
                <w:tcPr>
                  <w:tcW w:type="dxa" w:w="1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6）有电梯突发事件或事故的应急措施与救援预案，每年至少开展演练1次。电梯出现故障，物业服务人员10分钟内到场应急处理，维保专业人员30分钟内到场应急处理。</w:t>
                  </w:r>
                </w:p>
              </w:tc>
            </w:tr>
            <w:tr>
              <w:tc>
                <w:tcPr>
                  <w:tcW w:type="dxa" w:w="215"/>
                  <w:vMerge/>
                  <w:tcBorders>
                    <w:top w:val="none" w:color="000000" w:sz="4"/>
                    <w:left w:val="single" w:color="000000" w:sz="4"/>
                    <w:bottom w:val="single" w:color="000000" w:sz="4"/>
                    <w:right w:val="single" w:color="000000" w:sz="4"/>
                  </w:tcBorders>
                </w:tcPr>
                <w:p/>
              </w:tc>
              <w:tc>
                <w:tcPr>
                  <w:tcW w:type="dxa" w:w="450"/>
                  <w:vMerge/>
                  <w:tcBorders>
                    <w:top w:val="none" w:color="000000" w:sz="4"/>
                    <w:left w:val="none" w:color="000000" w:sz="4"/>
                    <w:bottom w:val="single" w:color="000000" w:sz="4"/>
                    <w:right w:val="single" w:color="000000" w:sz="4"/>
                  </w:tcBorders>
                </w:tcPr>
                <w:p/>
              </w:tc>
              <w:tc>
                <w:tcPr>
                  <w:tcW w:type="dxa" w:w="1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7）到场进行救助和排除故障。电梯紧急电话保持畅通。</w:t>
                  </w:r>
                </w:p>
              </w:tc>
            </w:tr>
            <w:tr>
              <w:tc>
                <w:tcPr>
                  <w:tcW w:type="dxa" w:w="215"/>
                  <w:vMerge/>
                  <w:tcBorders>
                    <w:top w:val="none" w:color="000000" w:sz="4"/>
                    <w:left w:val="single" w:color="000000" w:sz="4"/>
                    <w:bottom w:val="single" w:color="000000" w:sz="4"/>
                    <w:right w:val="single" w:color="000000" w:sz="4"/>
                  </w:tcBorders>
                </w:tcPr>
                <w:p/>
              </w:tc>
              <w:tc>
                <w:tcPr>
                  <w:tcW w:type="dxa" w:w="450"/>
                  <w:vMerge/>
                  <w:tcBorders>
                    <w:top w:val="none" w:color="000000" w:sz="4"/>
                    <w:left w:val="none" w:color="000000" w:sz="4"/>
                    <w:bottom w:val="single" w:color="000000" w:sz="4"/>
                    <w:right w:val="single" w:color="000000" w:sz="4"/>
                  </w:tcBorders>
                </w:tcPr>
                <w:p/>
              </w:tc>
              <w:tc>
                <w:tcPr>
                  <w:tcW w:type="dxa" w:w="1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8）电梯维修、保养时在现场设置提示标识和防护围栏。</w:t>
                  </w:r>
                </w:p>
              </w:tc>
            </w:tr>
            <w:tr>
              <w:tc>
                <w:tcPr>
                  <w:tcW w:type="dxa" w:w="21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5</w:t>
                  </w:r>
                </w:p>
              </w:tc>
              <w:tc>
                <w:tcPr>
                  <w:tcW w:type="dxa" w:w="45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空调系统</w:t>
                  </w:r>
                </w:p>
              </w:tc>
              <w:tc>
                <w:tcPr>
                  <w:tcW w:type="dxa" w:w="1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1）空调通风系统运行管理符合《空调通风系统运行管理标准》（GB50365）的相关要求。</w:t>
                  </w:r>
                </w:p>
              </w:tc>
            </w:tr>
            <w:tr>
              <w:tc>
                <w:tcPr>
                  <w:tcW w:type="dxa" w:w="215"/>
                  <w:vMerge/>
                  <w:tcBorders>
                    <w:top w:val="none" w:color="000000" w:sz="4"/>
                    <w:left w:val="single" w:color="000000" w:sz="4"/>
                    <w:bottom w:val="single" w:color="000000" w:sz="4"/>
                    <w:right w:val="single" w:color="000000" w:sz="4"/>
                  </w:tcBorders>
                </w:tcPr>
                <w:p/>
              </w:tc>
              <w:tc>
                <w:tcPr>
                  <w:tcW w:type="dxa" w:w="450"/>
                  <w:vMerge/>
                  <w:tcBorders>
                    <w:top w:val="none" w:color="000000" w:sz="4"/>
                    <w:left w:val="none" w:color="000000" w:sz="4"/>
                    <w:bottom w:val="single" w:color="000000" w:sz="4"/>
                    <w:right w:val="single" w:color="000000" w:sz="4"/>
                  </w:tcBorders>
                </w:tcPr>
                <w:p/>
              </w:tc>
              <w:tc>
                <w:tcPr>
                  <w:tcW w:type="dxa" w:w="1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2）办公楼内温湿度、空气质量等符合《室内空气质量标准》（GB/T18883）的相关要求。</w:t>
                  </w:r>
                </w:p>
              </w:tc>
            </w:tr>
            <w:tr>
              <w:tc>
                <w:tcPr>
                  <w:tcW w:type="dxa" w:w="215"/>
                  <w:vMerge/>
                  <w:tcBorders>
                    <w:top w:val="none" w:color="000000" w:sz="4"/>
                    <w:left w:val="single" w:color="000000" w:sz="4"/>
                    <w:bottom w:val="single" w:color="000000" w:sz="4"/>
                    <w:right w:val="single" w:color="000000" w:sz="4"/>
                  </w:tcBorders>
                </w:tcPr>
                <w:p/>
              </w:tc>
              <w:tc>
                <w:tcPr>
                  <w:tcW w:type="dxa" w:w="450"/>
                  <w:vMerge/>
                  <w:tcBorders>
                    <w:top w:val="none" w:color="000000" w:sz="4"/>
                    <w:left w:val="none" w:color="000000" w:sz="4"/>
                    <w:bottom w:val="single" w:color="000000" w:sz="4"/>
                    <w:right w:val="single" w:color="000000" w:sz="4"/>
                  </w:tcBorders>
                </w:tcPr>
                <w:p/>
              </w:tc>
              <w:tc>
                <w:tcPr>
                  <w:tcW w:type="dxa" w:w="1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3）定期维保并做好记录，保证空调设施设备处于良好状态。</w:t>
                  </w:r>
                </w:p>
              </w:tc>
            </w:tr>
            <w:tr>
              <w:tc>
                <w:tcPr>
                  <w:tcW w:type="dxa" w:w="215"/>
                  <w:vMerge/>
                  <w:tcBorders>
                    <w:top w:val="none" w:color="000000" w:sz="4"/>
                    <w:left w:val="single" w:color="000000" w:sz="4"/>
                    <w:bottom w:val="single" w:color="000000" w:sz="4"/>
                    <w:right w:val="single" w:color="000000" w:sz="4"/>
                  </w:tcBorders>
                </w:tcPr>
                <w:p/>
              </w:tc>
              <w:tc>
                <w:tcPr>
                  <w:tcW w:type="dxa" w:w="450"/>
                  <w:vMerge/>
                  <w:tcBorders>
                    <w:top w:val="none" w:color="000000" w:sz="4"/>
                    <w:left w:val="none" w:color="000000" w:sz="4"/>
                    <w:bottom w:val="single" w:color="000000" w:sz="4"/>
                    <w:right w:val="single" w:color="000000" w:sz="4"/>
                  </w:tcBorders>
                </w:tcPr>
                <w:p/>
              </w:tc>
              <w:tc>
                <w:tcPr>
                  <w:tcW w:type="dxa" w:w="1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4）中央空调运行前对冷水机组、循环水泵、冷却塔、风机等设施设备进行系统检查，运行期间每日至少开展1次运行情况巡查。</w:t>
                  </w:r>
                </w:p>
              </w:tc>
            </w:tr>
            <w:tr>
              <w:tc>
                <w:tcPr>
                  <w:tcW w:type="dxa" w:w="215"/>
                  <w:vMerge/>
                  <w:tcBorders>
                    <w:top w:val="none" w:color="000000" w:sz="4"/>
                    <w:left w:val="single" w:color="000000" w:sz="4"/>
                    <w:bottom w:val="single" w:color="000000" w:sz="4"/>
                    <w:right w:val="single" w:color="000000" w:sz="4"/>
                  </w:tcBorders>
                </w:tcPr>
                <w:p/>
              </w:tc>
              <w:tc>
                <w:tcPr>
                  <w:tcW w:type="dxa" w:w="450"/>
                  <w:vMerge/>
                  <w:tcBorders>
                    <w:top w:val="none" w:color="000000" w:sz="4"/>
                    <w:left w:val="none" w:color="000000" w:sz="4"/>
                    <w:bottom w:val="single" w:color="000000" w:sz="4"/>
                    <w:right w:val="single" w:color="000000" w:sz="4"/>
                  </w:tcBorders>
                </w:tcPr>
                <w:p/>
              </w:tc>
              <w:tc>
                <w:tcPr>
                  <w:tcW w:type="dxa" w:w="1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5）每半年至少开展1次管道、阀门检查并除锈。</w:t>
                  </w:r>
                </w:p>
              </w:tc>
            </w:tr>
            <w:tr>
              <w:tc>
                <w:tcPr>
                  <w:tcW w:type="dxa" w:w="215"/>
                  <w:vMerge/>
                  <w:tcBorders>
                    <w:top w:val="none" w:color="000000" w:sz="4"/>
                    <w:left w:val="single" w:color="000000" w:sz="4"/>
                    <w:bottom w:val="single" w:color="000000" w:sz="4"/>
                    <w:right w:val="single" w:color="000000" w:sz="4"/>
                  </w:tcBorders>
                </w:tcPr>
                <w:p/>
              </w:tc>
              <w:tc>
                <w:tcPr>
                  <w:tcW w:type="dxa" w:w="450"/>
                  <w:vMerge/>
                  <w:tcBorders>
                    <w:top w:val="none" w:color="000000" w:sz="4"/>
                    <w:left w:val="none" w:color="000000" w:sz="4"/>
                    <w:bottom w:val="single" w:color="000000" w:sz="4"/>
                    <w:right w:val="single" w:color="000000" w:sz="4"/>
                  </w:tcBorders>
                </w:tcPr>
                <w:p/>
              </w:tc>
              <w:tc>
                <w:tcPr>
                  <w:tcW w:type="dxa" w:w="1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6）每年至少开展1次系统整体性维修养护，检验1次压力容器、仪表及冷却塔噪声。</w:t>
                  </w:r>
                </w:p>
              </w:tc>
            </w:tr>
            <w:tr>
              <w:tc>
                <w:tcPr>
                  <w:tcW w:type="dxa" w:w="215"/>
                  <w:vMerge/>
                  <w:tcBorders>
                    <w:top w:val="none" w:color="000000" w:sz="4"/>
                    <w:left w:val="single" w:color="000000" w:sz="4"/>
                    <w:bottom w:val="single" w:color="000000" w:sz="4"/>
                    <w:right w:val="single" w:color="000000" w:sz="4"/>
                  </w:tcBorders>
                </w:tcPr>
                <w:p/>
              </w:tc>
              <w:tc>
                <w:tcPr>
                  <w:tcW w:type="dxa" w:w="450"/>
                  <w:vMerge/>
                  <w:tcBorders>
                    <w:top w:val="none" w:color="000000" w:sz="4"/>
                    <w:left w:val="none" w:color="000000" w:sz="4"/>
                    <w:bottom w:val="single" w:color="000000" w:sz="4"/>
                    <w:right w:val="single" w:color="000000" w:sz="4"/>
                  </w:tcBorders>
                </w:tcPr>
                <w:p/>
              </w:tc>
              <w:tc>
                <w:tcPr>
                  <w:tcW w:type="dxa" w:w="1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7）每年至少开展1次新风机、空气处理机滤网等清洗消毒；每2年至少开展1次风管清洗消毒。</w:t>
                  </w:r>
                </w:p>
              </w:tc>
            </w:tr>
            <w:tr>
              <w:tc>
                <w:tcPr>
                  <w:tcW w:type="dxa" w:w="215"/>
                  <w:vMerge/>
                  <w:tcBorders>
                    <w:top w:val="none" w:color="000000" w:sz="4"/>
                    <w:left w:val="single" w:color="000000" w:sz="4"/>
                    <w:bottom w:val="single" w:color="000000" w:sz="4"/>
                    <w:right w:val="single" w:color="000000" w:sz="4"/>
                  </w:tcBorders>
                </w:tcPr>
                <w:p/>
              </w:tc>
              <w:tc>
                <w:tcPr>
                  <w:tcW w:type="dxa" w:w="450"/>
                  <w:vMerge/>
                  <w:tcBorders>
                    <w:top w:val="none" w:color="000000" w:sz="4"/>
                    <w:left w:val="none" w:color="000000" w:sz="4"/>
                    <w:bottom w:val="single" w:color="000000" w:sz="4"/>
                    <w:right w:val="single" w:color="000000" w:sz="4"/>
                  </w:tcBorders>
                </w:tcPr>
                <w:p/>
              </w:tc>
              <w:tc>
                <w:tcPr>
                  <w:tcW w:type="dxa" w:w="1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8）每年至少开展1次分体式空调主机（含空调过滤网）和室外机清洁。每月至少开展1次挂机和室外支架稳固性巡查。</w:t>
                  </w:r>
                </w:p>
              </w:tc>
            </w:tr>
            <w:tr>
              <w:tc>
                <w:tcPr>
                  <w:tcW w:type="dxa" w:w="215"/>
                  <w:vMerge/>
                  <w:tcBorders>
                    <w:top w:val="none" w:color="000000" w:sz="4"/>
                    <w:left w:val="single" w:color="000000" w:sz="4"/>
                    <w:bottom w:val="single" w:color="000000" w:sz="4"/>
                    <w:right w:val="single" w:color="000000" w:sz="4"/>
                  </w:tcBorders>
                </w:tcPr>
                <w:p/>
              </w:tc>
              <w:tc>
                <w:tcPr>
                  <w:tcW w:type="dxa" w:w="450"/>
                  <w:vMerge/>
                  <w:tcBorders>
                    <w:top w:val="none" w:color="000000" w:sz="4"/>
                    <w:left w:val="none" w:color="000000" w:sz="4"/>
                    <w:bottom w:val="single" w:color="000000" w:sz="4"/>
                    <w:right w:val="single" w:color="000000" w:sz="4"/>
                  </w:tcBorders>
                </w:tcPr>
                <w:p/>
              </w:tc>
              <w:tc>
                <w:tcPr>
                  <w:tcW w:type="dxa" w:w="1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9）制冷、供暖系统温度设定及启用时间符合节能要求。</w:t>
                  </w:r>
                </w:p>
              </w:tc>
            </w:tr>
            <w:tr>
              <w:tc>
                <w:tcPr>
                  <w:tcW w:type="dxa" w:w="215"/>
                  <w:vMerge/>
                  <w:tcBorders>
                    <w:top w:val="none" w:color="000000" w:sz="4"/>
                    <w:left w:val="single" w:color="000000" w:sz="4"/>
                    <w:bottom w:val="single" w:color="000000" w:sz="4"/>
                    <w:right w:val="single" w:color="000000" w:sz="4"/>
                  </w:tcBorders>
                </w:tcPr>
                <w:p/>
              </w:tc>
              <w:tc>
                <w:tcPr>
                  <w:tcW w:type="dxa" w:w="450"/>
                  <w:vMerge/>
                  <w:tcBorders>
                    <w:top w:val="none" w:color="000000" w:sz="4"/>
                    <w:left w:val="none" w:color="000000" w:sz="4"/>
                    <w:bottom w:val="single" w:color="000000" w:sz="4"/>
                    <w:right w:val="single" w:color="000000" w:sz="4"/>
                  </w:tcBorders>
                </w:tcPr>
                <w:p/>
              </w:tc>
              <w:tc>
                <w:tcPr>
                  <w:tcW w:type="dxa" w:w="1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10）发现故障或损坏应当在30分钟内到场，紧急维修应当在15分钟内到达现场，在12小时内维修完毕。</w:t>
                  </w:r>
                </w:p>
              </w:tc>
            </w:tr>
            <w:tr>
              <w:tc>
                <w:tcPr>
                  <w:tcW w:type="dxa" w:w="21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6</w:t>
                  </w:r>
                </w:p>
              </w:tc>
              <w:tc>
                <w:tcPr>
                  <w:tcW w:type="dxa" w:w="45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消防系统</w:t>
                  </w:r>
                </w:p>
              </w:tc>
              <w:tc>
                <w:tcPr>
                  <w:tcW w:type="dxa" w:w="1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1）消防设施的维护管理符合《建筑消防设施的维护管理》（GB25201）的相关要求。</w:t>
                  </w:r>
                </w:p>
              </w:tc>
            </w:tr>
            <w:tr>
              <w:tc>
                <w:tcPr>
                  <w:tcW w:type="dxa" w:w="215"/>
                  <w:vMerge/>
                  <w:tcBorders>
                    <w:top w:val="none" w:color="000000" w:sz="4"/>
                    <w:left w:val="single" w:color="000000" w:sz="4"/>
                    <w:bottom w:val="single" w:color="000000" w:sz="4"/>
                    <w:right w:val="single" w:color="000000" w:sz="4"/>
                  </w:tcBorders>
                </w:tcPr>
                <w:p/>
              </w:tc>
              <w:tc>
                <w:tcPr>
                  <w:tcW w:type="dxa" w:w="450"/>
                  <w:vMerge/>
                  <w:tcBorders>
                    <w:top w:val="none" w:color="000000" w:sz="4"/>
                    <w:left w:val="none" w:color="000000" w:sz="4"/>
                    <w:bottom w:val="single" w:color="000000" w:sz="4"/>
                    <w:right w:val="single" w:color="000000" w:sz="4"/>
                  </w:tcBorders>
                </w:tcPr>
                <w:p/>
              </w:tc>
              <w:tc>
                <w:tcPr>
                  <w:tcW w:type="dxa" w:w="1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2）消防设备检测符合《建筑消防设施检测技术规程》（GA503或XF503）的相关要求。</w:t>
                  </w:r>
                </w:p>
              </w:tc>
            </w:tr>
            <w:tr>
              <w:tc>
                <w:tcPr>
                  <w:tcW w:type="dxa" w:w="215"/>
                  <w:vMerge/>
                  <w:tcBorders>
                    <w:top w:val="none" w:color="000000" w:sz="4"/>
                    <w:left w:val="single" w:color="000000" w:sz="4"/>
                    <w:bottom w:val="single" w:color="000000" w:sz="4"/>
                    <w:right w:val="single" w:color="000000" w:sz="4"/>
                  </w:tcBorders>
                </w:tcPr>
                <w:p/>
              </w:tc>
              <w:tc>
                <w:tcPr>
                  <w:tcW w:type="dxa" w:w="450"/>
                  <w:vMerge/>
                  <w:tcBorders>
                    <w:top w:val="none" w:color="000000" w:sz="4"/>
                    <w:left w:val="none" w:color="000000" w:sz="4"/>
                    <w:bottom w:val="single" w:color="000000" w:sz="4"/>
                    <w:right w:val="single" w:color="000000" w:sz="4"/>
                  </w:tcBorders>
                </w:tcPr>
                <w:p/>
              </w:tc>
              <w:tc>
                <w:tcPr>
                  <w:tcW w:type="dxa" w:w="1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3）消防设施平面图、火警疏散示意图、防火分区图等按幢设置在楼层醒目位置。</w:t>
                  </w:r>
                </w:p>
              </w:tc>
            </w:tr>
            <w:tr>
              <w:tc>
                <w:tcPr>
                  <w:tcW w:type="dxa" w:w="215"/>
                  <w:vMerge/>
                  <w:tcBorders>
                    <w:top w:val="none" w:color="000000" w:sz="4"/>
                    <w:left w:val="single" w:color="000000" w:sz="4"/>
                    <w:bottom w:val="single" w:color="000000" w:sz="4"/>
                    <w:right w:val="single" w:color="000000" w:sz="4"/>
                  </w:tcBorders>
                </w:tcPr>
                <w:p/>
              </w:tc>
              <w:tc>
                <w:tcPr>
                  <w:tcW w:type="dxa" w:w="450"/>
                  <w:vMerge/>
                  <w:tcBorders>
                    <w:top w:val="none" w:color="000000" w:sz="4"/>
                    <w:left w:val="none" w:color="000000" w:sz="4"/>
                    <w:bottom w:val="single" w:color="000000" w:sz="4"/>
                    <w:right w:val="single" w:color="000000" w:sz="4"/>
                  </w:tcBorders>
                </w:tcPr>
                <w:p/>
              </w:tc>
              <w:tc>
                <w:tcPr>
                  <w:tcW w:type="dxa" w:w="1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4）消防系统各设施设备使用说明清晰，宜图文结合。</w:t>
                  </w:r>
                </w:p>
              </w:tc>
            </w:tr>
            <w:tr>
              <w:tc>
                <w:tcPr>
                  <w:tcW w:type="dxa" w:w="215"/>
                  <w:vMerge/>
                  <w:tcBorders>
                    <w:top w:val="none" w:color="000000" w:sz="4"/>
                    <w:left w:val="single" w:color="000000" w:sz="4"/>
                    <w:bottom w:val="single" w:color="000000" w:sz="4"/>
                    <w:right w:val="single" w:color="000000" w:sz="4"/>
                  </w:tcBorders>
                </w:tcPr>
                <w:p/>
              </w:tc>
              <w:tc>
                <w:tcPr>
                  <w:tcW w:type="dxa" w:w="450"/>
                  <w:vMerge/>
                  <w:tcBorders>
                    <w:top w:val="none" w:color="000000" w:sz="4"/>
                    <w:left w:val="none" w:color="000000" w:sz="4"/>
                    <w:bottom w:val="single" w:color="000000" w:sz="4"/>
                    <w:right w:val="single" w:color="000000" w:sz="4"/>
                  </w:tcBorders>
                </w:tcPr>
                <w:p/>
              </w:tc>
              <w:tc>
                <w:tcPr>
                  <w:tcW w:type="dxa" w:w="1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5）自动喷水灭火系统启动正常。</w:t>
                  </w:r>
                </w:p>
              </w:tc>
            </w:tr>
            <w:tr>
              <w:tc>
                <w:tcPr>
                  <w:tcW w:type="dxa" w:w="215"/>
                  <w:vMerge/>
                  <w:tcBorders>
                    <w:top w:val="none" w:color="000000" w:sz="4"/>
                    <w:left w:val="single" w:color="000000" w:sz="4"/>
                    <w:bottom w:val="single" w:color="000000" w:sz="4"/>
                    <w:right w:val="single" w:color="000000" w:sz="4"/>
                  </w:tcBorders>
                </w:tcPr>
                <w:p/>
              </w:tc>
              <w:tc>
                <w:tcPr>
                  <w:tcW w:type="dxa" w:w="450"/>
                  <w:vMerge/>
                  <w:tcBorders>
                    <w:top w:val="none" w:color="000000" w:sz="4"/>
                    <w:left w:val="none" w:color="000000" w:sz="4"/>
                    <w:bottom w:val="single" w:color="000000" w:sz="4"/>
                    <w:right w:val="single" w:color="000000" w:sz="4"/>
                  </w:tcBorders>
                </w:tcPr>
                <w:p/>
              </w:tc>
              <w:tc>
                <w:tcPr>
                  <w:tcW w:type="dxa" w:w="1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6）消火栓箱、防火门、灭火器、消防水泵、红外线报警器、应急照明、安全疏散等系统运行正常。</w:t>
                  </w:r>
                </w:p>
              </w:tc>
            </w:tr>
            <w:tr>
              <w:tc>
                <w:tcPr>
                  <w:tcW w:type="dxa" w:w="215"/>
                  <w:vMerge/>
                  <w:tcBorders>
                    <w:top w:val="none" w:color="000000" w:sz="4"/>
                    <w:left w:val="single" w:color="000000" w:sz="4"/>
                    <w:bottom w:val="single" w:color="000000" w:sz="4"/>
                    <w:right w:val="single" w:color="000000" w:sz="4"/>
                  </w:tcBorders>
                </w:tcPr>
                <w:p/>
              </w:tc>
              <w:tc>
                <w:tcPr>
                  <w:tcW w:type="dxa" w:w="450"/>
                  <w:vMerge/>
                  <w:tcBorders>
                    <w:top w:val="none" w:color="000000" w:sz="4"/>
                    <w:left w:val="none" w:color="000000" w:sz="4"/>
                    <w:bottom w:val="single" w:color="000000" w:sz="4"/>
                    <w:right w:val="single" w:color="000000" w:sz="4"/>
                  </w:tcBorders>
                </w:tcPr>
                <w:p/>
              </w:tc>
              <w:tc>
                <w:tcPr>
                  <w:tcW w:type="dxa" w:w="1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7）消防预警系统运行良好，自动和手动报警设施启动正常。</w:t>
                  </w:r>
                </w:p>
              </w:tc>
            </w:tr>
            <w:tr>
              <w:tc>
                <w:tcPr>
                  <w:tcW w:type="dxa" w:w="215"/>
                  <w:vMerge/>
                  <w:tcBorders>
                    <w:top w:val="none" w:color="000000" w:sz="4"/>
                    <w:left w:val="single" w:color="000000" w:sz="4"/>
                    <w:bottom w:val="single" w:color="000000" w:sz="4"/>
                    <w:right w:val="single" w:color="000000" w:sz="4"/>
                  </w:tcBorders>
                </w:tcPr>
                <w:p/>
              </w:tc>
              <w:tc>
                <w:tcPr>
                  <w:tcW w:type="dxa" w:w="450"/>
                  <w:vMerge/>
                  <w:tcBorders>
                    <w:top w:val="none" w:color="000000" w:sz="4"/>
                    <w:left w:val="none" w:color="000000" w:sz="4"/>
                    <w:bottom w:val="single" w:color="000000" w:sz="4"/>
                    <w:right w:val="single" w:color="000000" w:sz="4"/>
                  </w:tcBorders>
                </w:tcPr>
                <w:p/>
              </w:tc>
              <w:tc>
                <w:tcPr>
                  <w:tcW w:type="dxa" w:w="1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8）正压送风、防排烟系统运行正常。</w:t>
                  </w:r>
                </w:p>
              </w:tc>
            </w:tr>
            <w:tr>
              <w:tc>
                <w:tcPr>
                  <w:tcW w:type="dxa" w:w="215"/>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7</w:t>
                  </w:r>
                </w:p>
              </w:tc>
              <w:tc>
                <w:tcPr>
                  <w:tcW w:type="dxa" w:w="45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供配电系统</w:t>
                  </w:r>
                </w:p>
              </w:tc>
              <w:tc>
                <w:tcPr>
                  <w:tcW w:type="dxa" w:w="1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1）建立24小时运行值班监控制度。</w:t>
                  </w:r>
                </w:p>
              </w:tc>
            </w:tr>
            <w:tr>
              <w:tc>
                <w:tcPr>
                  <w:tcW w:type="dxa" w:w="215"/>
                  <w:vMerge/>
                  <w:tcBorders>
                    <w:top w:val="none" w:color="000000" w:sz="4"/>
                    <w:left w:val="single" w:color="000000" w:sz="4"/>
                    <w:bottom w:val="single" w:color="000000" w:sz="4"/>
                    <w:right w:val="single" w:color="000000" w:sz="4"/>
                  </w:tcBorders>
                </w:tcPr>
                <w:p/>
              </w:tc>
              <w:tc>
                <w:tcPr>
                  <w:tcW w:type="dxa" w:w="450"/>
                  <w:vMerge/>
                  <w:tcBorders>
                    <w:top w:val="none" w:color="000000" w:sz="4"/>
                    <w:left w:val="none" w:color="000000" w:sz="4"/>
                    <w:bottom w:val="single" w:color="000000" w:sz="4"/>
                    <w:right w:val="single" w:color="000000" w:sz="4"/>
                  </w:tcBorders>
                </w:tcPr>
                <w:p/>
              </w:tc>
              <w:tc>
                <w:tcPr>
                  <w:tcW w:type="dxa" w:w="1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2）对供电范围内的电气设备定期巡视维护，加强高低压配电柜、配电箱、控制柜及线路等重点部位监测。</w:t>
                  </w:r>
                </w:p>
              </w:tc>
            </w:tr>
            <w:tr>
              <w:tc>
                <w:tcPr>
                  <w:tcW w:type="dxa" w:w="215"/>
                  <w:vMerge/>
                  <w:tcBorders>
                    <w:top w:val="none" w:color="000000" w:sz="4"/>
                    <w:left w:val="single" w:color="000000" w:sz="4"/>
                    <w:bottom w:val="single" w:color="000000" w:sz="4"/>
                    <w:right w:val="single" w:color="000000" w:sz="4"/>
                  </w:tcBorders>
                </w:tcPr>
                <w:p/>
              </w:tc>
              <w:tc>
                <w:tcPr>
                  <w:tcW w:type="dxa" w:w="450"/>
                  <w:vMerge/>
                  <w:tcBorders>
                    <w:top w:val="none" w:color="000000" w:sz="4"/>
                    <w:left w:val="none" w:color="000000" w:sz="4"/>
                    <w:bottom w:val="single" w:color="000000" w:sz="4"/>
                    <w:right w:val="single" w:color="000000" w:sz="4"/>
                  </w:tcBorders>
                </w:tcPr>
                <w:p/>
              </w:tc>
              <w:tc>
                <w:tcPr>
                  <w:tcW w:type="dxa" w:w="1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3）公共使用的照明、指示灯具线路、开关、接地等保持完好，确保用电安全。</w:t>
                  </w:r>
                </w:p>
              </w:tc>
            </w:tr>
            <w:tr>
              <w:tc>
                <w:tcPr>
                  <w:tcW w:type="dxa" w:w="215"/>
                  <w:vMerge/>
                  <w:tcBorders>
                    <w:top w:val="none" w:color="000000" w:sz="4"/>
                    <w:left w:val="single" w:color="000000" w:sz="4"/>
                    <w:bottom w:val="single" w:color="000000" w:sz="4"/>
                    <w:right w:val="single" w:color="000000" w:sz="4"/>
                  </w:tcBorders>
                </w:tcPr>
                <w:p/>
              </w:tc>
              <w:tc>
                <w:tcPr>
                  <w:tcW w:type="dxa" w:w="450"/>
                  <w:vMerge/>
                  <w:tcBorders>
                    <w:top w:val="none" w:color="000000" w:sz="4"/>
                    <w:left w:val="none" w:color="000000" w:sz="4"/>
                    <w:bottom w:val="single" w:color="000000" w:sz="4"/>
                    <w:right w:val="single" w:color="000000" w:sz="4"/>
                  </w:tcBorders>
                </w:tcPr>
                <w:p/>
              </w:tc>
              <w:tc>
                <w:tcPr>
                  <w:tcW w:type="dxa" w:w="1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4）核心部位用电建立高可控用电保障和配备应急发电设备，定期维护应急发电设备。</w:t>
                  </w:r>
                </w:p>
              </w:tc>
            </w:tr>
            <w:tr>
              <w:tc>
                <w:tcPr>
                  <w:tcW w:type="dxa" w:w="215"/>
                  <w:vMerge/>
                  <w:tcBorders>
                    <w:top w:val="none" w:color="000000" w:sz="4"/>
                    <w:left w:val="single" w:color="000000" w:sz="4"/>
                    <w:bottom w:val="single" w:color="000000" w:sz="4"/>
                    <w:right w:val="single" w:color="000000" w:sz="4"/>
                  </w:tcBorders>
                </w:tcPr>
                <w:p/>
              </w:tc>
              <w:tc>
                <w:tcPr>
                  <w:tcW w:type="dxa" w:w="450"/>
                  <w:vMerge/>
                  <w:tcBorders>
                    <w:top w:val="none" w:color="000000" w:sz="4"/>
                    <w:left w:val="none" w:color="000000" w:sz="4"/>
                    <w:bottom w:val="single" w:color="000000" w:sz="4"/>
                    <w:right w:val="single" w:color="000000" w:sz="4"/>
                  </w:tcBorders>
                </w:tcPr>
                <w:p/>
              </w:tc>
              <w:tc>
                <w:tcPr>
                  <w:tcW w:type="dxa" w:w="1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5）发生非计划性停电的，应当在事件发生后及时通知采购人，快速恢复或启用应急电源，并做好应急事件上报及处理工作。</w:t>
                  </w:r>
                </w:p>
              </w:tc>
            </w:tr>
            <w:tr>
              <w:tc>
                <w:tcPr>
                  <w:tcW w:type="dxa" w:w="215"/>
                  <w:vMerge/>
                  <w:tcBorders>
                    <w:top w:val="none" w:color="000000" w:sz="4"/>
                    <w:left w:val="single" w:color="000000" w:sz="4"/>
                    <w:bottom w:val="single" w:color="000000" w:sz="4"/>
                    <w:right w:val="single" w:color="000000" w:sz="4"/>
                  </w:tcBorders>
                </w:tcPr>
                <w:p/>
              </w:tc>
              <w:tc>
                <w:tcPr>
                  <w:tcW w:type="dxa" w:w="450"/>
                  <w:vMerge/>
                  <w:tcBorders>
                    <w:top w:val="none" w:color="000000" w:sz="4"/>
                    <w:left w:val="none" w:color="000000" w:sz="4"/>
                    <w:bottom w:val="single" w:color="000000" w:sz="4"/>
                    <w:right w:val="single" w:color="000000" w:sz="4"/>
                  </w:tcBorders>
                </w:tcPr>
                <w:p/>
              </w:tc>
              <w:tc>
                <w:tcPr>
                  <w:tcW w:type="dxa" w:w="188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6）复杂故障涉及供电部门维修处置的及时与供电部门联系，并向采购人报告。</w:t>
                  </w:r>
                </w:p>
              </w:tc>
            </w:tr>
          </w:tbl>
          <w:p>
            <w:pPr>
              <w:pStyle w:val="null3"/>
              <w:jc w:val="both"/>
            </w:pPr>
            <w:r>
              <w:rPr>
                <w:rFonts w:ascii="仿宋_GB2312" w:hAnsi="仿宋_GB2312" w:cs="仿宋_GB2312" w:eastAsia="仿宋_GB2312"/>
                <w:sz w:val="24"/>
              </w:rPr>
              <w:t>注：电梯系统、</w:t>
            </w:r>
            <w:r>
              <w:rPr>
                <w:rFonts w:ascii="仿宋_GB2312" w:hAnsi="仿宋_GB2312" w:cs="仿宋_GB2312" w:eastAsia="仿宋_GB2312"/>
                <w:sz w:val="24"/>
              </w:rPr>
              <w:t>消防系统、空调系统</w:t>
            </w:r>
            <w:r>
              <w:rPr>
                <w:rFonts w:ascii="仿宋_GB2312" w:hAnsi="仿宋_GB2312" w:cs="仿宋_GB2312" w:eastAsia="仿宋_GB2312"/>
                <w:sz w:val="24"/>
              </w:rPr>
              <w:t>等设施设备的安装改造维修应当由具备相应资质的供应商完成，如供应商自身不具备，可进行分包由具有相应资质的单位完成。服务标准涉及的国家标准有更新的，执行国家最新标准。</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3.4保洁服务</w:t>
            </w:r>
          </w:p>
          <w:tbl>
            <w:tblPr>
              <w:tblBorders>
                <w:top w:val="none" w:color="000000" w:sz="4"/>
                <w:left w:val="none" w:color="000000" w:sz="4"/>
                <w:bottom w:val="none" w:color="000000" w:sz="4"/>
                <w:right w:val="none" w:color="000000" w:sz="4"/>
                <w:insideH w:val="none"/>
                <w:insideV w:val="none"/>
              </w:tblBorders>
            </w:tblPr>
            <w:tblGrid>
              <w:gridCol w:w="213"/>
              <w:gridCol w:w="587"/>
              <w:gridCol w:w="1750"/>
            </w:tblGrid>
            <w:tr>
              <w:tc>
                <w:tcPr>
                  <w:tcW w:type="dxa" w:w="21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序号</w:t>
                  </w:r>
                </w:p>
              </w:tc>
              <w:tc>
                <w:tcPr>
                  <w:tcW w:type="dxa" w:w="58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服务内容</w:t>
                  </w:r>
                </w:p>
              </w:tc>
              <w:tc>
                <w:tcPr>
                  <w:tcW w:type="dxa" w:w="175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服务标准</w:t>
                  </w:r>
                </w:p>
              </w:tc>
            </w:tr>
            <w:tr>
              <w:tc>
                <w:tcPr>
                  <w:tcW w:type="dxa" w:w="21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5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基本要求</w:t>
                  </w:r>
                </w:p>
              </w:tc>
              <w:tc>
                <w:tcPr>
                  <w:tcW w:type="dxa" w:w="17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1）建立保洁服务的工作制度及工作计划，并按照执行。</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2）做好保洁服务工作记录，记录填写规范、保存完好。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3）作业时采取安全防护措施，防止对作业人员或他人造成伤害。相关耗材的环保、安全性等应当符合国家相关规定要求。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4）进入保密区域时，有采购人相关人员全程在场。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年龄不超过</w:t>
                  </w:r>
                  <w:r>
                    <w:rPr>
                      <w:rFonts w:ascii="仿宋_GB2312" w:hAnsi="仿宋_GB2312" w:cs="仿宋_GB2312" w:eastAsia="仿宋_GB2312"/>
                      <w:sz w:val="24"/>
                    </w:rPr>
                    <w:t>60岁，身体健康，相貌端正，按规定着装统一规范，整洁，带工牌上岗。</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工具、物品、材料应放置在指定地点，无随便存放现象。</w:t>
                  </w:r>
                </w:p>
              </w:tc>
            </w:tr>
            <w:tr>
              <w:tc>
                <w:tcPr>
                  <w:tcW w:type="dxa" w:w="21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58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办公用房区域保洁</w:t>
                  </w:r>
                </w:p>
              </w:tc>
              <w:tc>
                <w:tcPr>
                  <w:tcW w:type="dxa" w:w="17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楼道地面</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光亮、干燥、无水迹、无纸屑、无污迹、无杂物、无积尘、无卫生死角</w:t>
                  </w:r>
                  <w:r>
                    <w:rPr>
                      <w:rFonts w:ascii="仿宋_GB2312" w:hAnsi="仿宋_GB2312" w:cs="仿宋_GB2312" w:eastAsia="仿宋_GB2312"/>
                      <w:sz w:val="24"/>
                    </w:rPr>
                    <w:t>。</w:t>
                  </w:r>
                </w:p>
              </w:tc>
            </w:tr>
            <w:tr>
              <w:tc>
                <w:tcPr>
                  <w:tcW w:type="dxa" w:w="213"/>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17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玻璃</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透明、光亮、无污迹、无灰尘、无粘贴物</w:t>
                  </w:r>
                  <w:r>
                    <w:rPr>
                      <w:rFonts w:ascii="仿宋_GB2312" w:hAnsi="仿宋_GB2312" w:cs="仿宋_GB2312" w:eastAsia="仿宋_GB2312"/>
                      <w:sz w:val="24"/>
                    </w:rPr>
                    <w:t>。</w:t>
                  </w:r>
                </w:p>
              </w:tc>
            </w:tr>
            <w:tr>
              <w:tc>
                <w:tcPr>
                  <w:tcW w:type="dxa" w:w="213"/>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17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rPr>
                    <w:t>墙角、踢角线</w:t>
                  </w:r>
                </w:p>
                <w:p>
                  <w:pPr>
                    <w:pStyle w:val="null3"/>
                    <w:jc w:val="both"/>
                  </w:pPr>
                  <w:r>
                    <w:rPr>
                      <w:rFonts w:ascii="仿宋_GB2312" w:hAnsi="仿宋_GB2312" w:cs="仿宋_GB2312" w:eastAsia="仿宋_GB2312"/>
                      <w:sz w:val="24"/>
                    </w:rPr>
                    <w:t>无污迹、无积尘、无蜘蛛网</w:t>
                  </w:r>
                  <w:r>
                    <w:rPr>
                      <w:rFonts w:ascii="仿宋_GB2312" w:hAnsi="仿宋_GB2312" w:cs="仿宋_GB2312" w:eastAsia="仿宋_GB2312"/>
                      <w:sz w:val="24"/>
                    </w:rPr>
                    <w:t>。</w:t>
                  </w:r>
                </w:p>
              </w:tc>
            </w:tr>
            <w:tr>
              <w:tc>
                <w:tcPr>
                  <w:tcW w:type="dxa" w:w="213"/>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17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rPr>
                    <w:t>墙面</w:t>
                  </w:r>
                  <w:r>
                    <w:rPr>
                      <w:rFonts w:ascii="仿宋_GB2312" w:hAnsi="仿宋_GB2312" w:cs="仿宋_GB2312" w:eastAsia="仿宋_GB2312"/>
                      <w:sz w:val="24"/>
                    </w:rPr>
                    <w:t>：</w:t>
                  </w:r>
                  <w:r>
                    <w:rPr>
                      <w:rFonts w:ascii="仿宋_GB2312" w:hAnsi="仿宋_GB2312" w:cs="仿宋_GB2312" w:eastAsia="仿宋_GB2312"/>
                      <w:sz w:val="24"/>
                    </w:rPr>
                    <w:t>无灰尘、无污迹、光亮。</w:t>
                  </w:r>
                </w:p>
              </w:tc>
            </w:tr>
            <w:tr>
              <w:tc>
                <w:tcPr>
                  <w:tcW w:type="dxa" w:w="213"/>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17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指示牌、警示标识</w:t>
                  </w:r>
                  <w:r>
                    <w:rPr>
                      <w:rFonts w:ascii="仿宋_GB2312" w:hAnsi="仿宋_GB2312" w:cs="仿宋_GB2312" w:eastAsia="仿宋_GB2312"/>
                      <w:sz w:val="24"/>
                    </w:rPr>
                    <w:t>：</w:t>
                  </w:r>
                  <w:r>
                    <w:rPr>
                      <w:rFonts w:ascii="仿宋_GB2312" w:hAnsi="仿宋_GB2312" w:cs="仿宋_GB2312" w:eastAsia="仿宋_GB2312"/>
                      <w:sz w:val="24"/>
                    </w:rPr>
                    <w:t>无灰尘、无污迹、无手印</w:t>
                  </w:r>
                  <w:r>
                    <w:rPr>
                      <w:rFonts w:ascii="仿宋_GB2312" w:hAnsi="仿宋_GB2312" w:cs="仿宋_GB2312" w:eastAsia="仿宋_GB2312"/>
                      <w:sz w:val="24"/>
                    </w:rPr>
                    <w:t>。</w:t>
                  </w:r>
                  <w:r>
                    <w:rPr>
                      <w:rFonts w:ascii="仿宋_GB2312" w:hAnsi="仿宋_GB2312" w:cs="仿宋_GB2312" w:eastAsia="仿宋_GB2312"/>
                      <w:sz w:val="24"/>
                    </w:rPr>
                    <w:t>垃圾容器</w:t>
                  </w:r>
                  <w:r>
                    <w:rPr>
                      <w:rFonts w:ascii="仿宋_GB2312" w:hAnsi="仿宋_GB2312" w:cs="仿宋_GB2312" w:eastAsia="仿宋_GB2312"/>
                      <w:sz w:val="24"/>
                    </w:rPr>
                    <w:t>：</w:t>
                  </w:r>
                  <w:r>
                    <w:rPr>
                      <w:rFonts w:ascii="仿宋_GB2312" w:hAnsi="仿宋_GB2312" w:cs="仿宋_GB2312" w:eastAsia="仿宋_GB2312"/>
                      <w:sz w:val="24"/>
                    </w:rPr>
                    <w:t>干净、无污迹、光亮、筒内垃圾不得超过投掷口</w:t>
                  </w:r>
                  <w:r>
                    <w:rPr>
                      <w:rFonts w:ascii="仿宋_GB2312" w:hAnsi="仿宋_GB2312" w:cs="仿宋_GB2312" w:eastAsia="仿宋_GB2312"/>
                      <w:sz w:val="24"/>
                    </w:rPr>
                    <w:t>。</w:t>
                  </w:r>
                  <w:r>
                    <w:rPr>
                      <w:rFonts w:ascii="仿宋_GB2312" w:hAnsi="仿宋_GB2312" w:cs="仿宋_GB2312" w:eastAsia="仿宋_GB2312"/>
                      <w:sz w:val="24"/>
                    </w:rPr>
                    <w:t>楼梯扶手、栏杆</w:t>
                  </w:r>
                  <w:r>
                    <w:rPr>
                      <w:rFonts w:ascii="仿宋_GB2312" w:hAnsi="仿宋_GB2312" w:cs="仿宋_GB2312" w:eastAsia="仿宋_GB2312"/>
                      <w:sz w:val="24"/>
                    </w:rPr>
                    <w:t>：</w:t>
                  </w:r>
                  <w:r>
                    <w:rPr>
                      <w:rFonts w:ascii="仿宋_GB2312" w:hAnsi="仿宋_GB2312" w:cs="仿宋_GB2312" w:eastAsia="仿宋_GB2312"/>
                      <w:sz w:val="24"/>
                    </w:rPr>
                    <w:t>干净、光洁、无污渍、无粘贴物。楼梯台阶、踢脚</w:t>
                  </w:r>
                  <w:r>
                    <w:rPr>
                      <w:rFonts w:ascii="仿宋_GB2312" w:hAnsi="仿宋_GB2312" w:cs="仿宋_GB2312" w:eastAsia="仿宋_GB2312"/>
                      <w:sz w:val="24"/>
                    </w:rPr>
                    <w:t>：</w:t>
                  </w:r>
                  <w:r>
                    <w:rPr>
                      <w:rFonts w:ascii="仿宋_GB2312" w:hAnsi="仿宋_GB2312" w:cs="仿宋_GB2312" w:eastAsia="仿宋_GB2312"/>
                      <w:sz w:val="24"/>
                    </w:rPr>
                    <w:t>干净、光洁、无污迹。设施桌椅、窗橱、展架</w:t>
                  </w:r>
                  <w:r>
                    <w:rPr>
                      <w:rFonts w:ascii="仿宋_GB2312" w:hAnsi="仿宋_GB2312" w:cs="仿宋_GB2312" w:eastAsia="仿宋_GB2312"/>
                      <w:sz w:val="24"/>
                    </w:rPr>
                    <w:t>：</w:t>
                  </w:r>
                  <w:r>
                    <w:rPr>
                      <w:rFonts w:ascii="仿宋_GB2312" w:hAnsi="仿宋_GB2312" w:cs="仿宋_GB2312" w:eastAsia="仿宋_GB2312"/>
                      <w:sz w:val="24"/>
                    </w:rPr>
                    <w:t>无灰尘、无污迹</w:t>
                  </w:r>
                  <w:r>
                    <w:rPr>
                      <w:rFonts w:ascii="仿宋_GB2312" w:hAnsi="仿宋_GB2312" w:cs="仿宋_GB2312" w:eastAsia="仿宋_GB2312"/>
                      <w:sz w:val="24"/>
                    </w:rPr>
                    <w:t>。</w:t>
                  </w:r>
                </w:p>
              </w:tc>
            </w:tr>
            <w:tr>
              <w:tc>
                <w:tcPr>
                  <w:tcW w:type="dxa" w:w="213"/>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17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垃圾容器</w:t>
                  </w:r>
                </w:p>
                <w:p>
                  <w:pPr>
                    <w:pStyle w:val="null3"/>
                    <w:jc w:val="both"/>
                  </w:pPr>
                  <w:r>
                    <w:rPr>
                      <w:rFonts w:ascii="仿宋_GB2312" w:hAnsi="仿宋_GB2312" w:cs="仿宋_GB2312" w:eastAsia="仿宋_GB2312"/>
                      <w:sz w:val="24"/>
                    </w:rPr>
                    <w:t>干净、无污迹、光亮、筒内垃圾不得超过投掷口</w:t>
                  </w:r>
                </w:p>
              </w:tc>
            </w:tr>
            <w:tr>
              <w:tc>
                <w:tcPr>
                  <w:tcW w:type="dxa" w:w="213"/>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17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6）公共卫生间：</w:t>
                  </w:r>
                </w:p>
                <w:p>
                  <w:pPr>
                    <w:pStyle w:val="null3"/>
                    <w:jc w:val="both"/>
                  </w:pPr>
                  <w:r>
                    <w:rPr>
                      <w:rFonts w:ascii="仿宋_GB2312" w:hAnsi="仿宋_GB2312" w:cs="仿宋_GB2312" w:eastAsia="仿宋_GB2312"/>
                      <w:sz w:val="24"/>
                    </w:rPr>
                    <w:t xml:space="preserve"> ①</w:t>
                  </w:r>
                  <w:r>
                    <w:rPr>
                      <w:rFonts w:ascii="仿宋_GB2312" w:hAnsi="仿宋_GB2312" w:cs="仿宋_GB2312" w:eastAsia="仿宋_GB2312"/>
                      <w:sz w:val="24"/>
                    </w:rPr>
                    <w:t>大、小便池无污迹、无便迹、无杂物、无水锈、水路畅通</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 xml:space="preserve"> ②</w:t>
                  </w:r>
                  <w:r>
                    <w:rPr>
                      <w:rFonts w:ascii="仿宋_GB2312" w:hAnsi="仿宋_GB2312" w:cs="仿宋_GB2312" w:eastAsia="仿宋_GB2312"/>
                      <w:sz w:val="24"/>
                    </w:rPr>
                    <w:t>废纸篓干净、无杂物</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③</w:t>
                  </w:r>
                  <w:r>
                    <w:rPr>
                      <w:rFonts w:ascii="仿宋_GB2312" w:hAnsi="仿宋_GB2312" w:cs="仿宋_GB2312" w:eastAsia="仿宋_GB2312"/>
                      <w:sz w:val="24"/>
                    </w:rPr>
                    <w:t>洗手盆干净、光洁、无污迹。</w:t>
                  </w:r>
                </w:p>
                <w:p>
                  <w:pPr>
                    <w:pStyle w:val="null3"/>
                    <w:jc w:val="both"/>
                  </w:pPr>
                  <w:r>
                    <w:rPr>
                      <w:rFonts w:ascii="仿宋_GB2312" w:hAnsi="仿宋_GB2312" w:cs="仿宋_GB2312" w:eastAsia="仿宋_GB2312"/>
                      <w:sz w:val="24"/>
                    </w:rPr>
                    <w:t>④隔断干净、光洁、无水迹。</w:t>
                  </w:r>
                </w:p>
                <w:p>
                  <w:pPr>
                    <w:pStyle w:val="null3"/>
                    <w:jc w:val="both"/>
                  </w:pPr>
                  <w:r>
                    <w:rPr>
                      <w:rFonts w:ascii="仿宋_GB2312" w:hAnsi="仿宋_GB2312" w:cs="仿宋_GB2312" w:eastAsia="仿宋_GB2312"/>
                      <w:sz w:val="24"/>
                    </w:rPr>
                    <w:t>⑤台面干净、无污迹、无水迹。</w:t>
                  </w:r>
                </w:p>
                <w:p>
                  <w:pPr>
                    <w:pStyle w:val="null3"/>
                    <w:jc w:val="both"/>
                  </w:pPr>
                  <w:r>
                    <w:rPr>
                      <w:rFonts w:ascii="仿宋_GB2312" w:hAnsi="仿宋_GB2312" w:cs="仿宋_GB2312" w:eastAsia="仿宋_GB2312"/>
                      <w:sz w:val="24"/>
                    </w:rPr>
                    <w:t>⑥墙面干净、光亮、无污迹、无水迹。</w:t>
                  </w:r>
                </w:p>
                <w:p>
                  <w:pPr>
                    <w:pStyle w:val="null3"/>
                    <w:jc w:val="both"/>
                  </w:pPr>
                  <w:r>
                    <w:rPr>
                      <w:rFonts w:ascii="仿宋_GB2312" w:hAnsi="仿宋_GB2312" w:cs="仿宋_GB2312" w:eastAsia="仿宋_GB2312"/>
                      <w:sz w:val="24"/>
                    </w:rPr>
                    <w:t>⑦镜面无灰尘、无污迹、无水迹。</w:t>
                  </w:r>
                </w:p>
              </w:tc>
            </w:tr>
            <w:tr>
              <w:tc>
                <w:tcPr>
                  <w:tcW w:type="dxa" w:w="213"/>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17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7）电梯轿厢：</w:t>
                  </w:r>
                </w:p>
                <w:p>
                  <w:pPr>
                    <w:pStyle w:val="null3"/>
                    <w:jc w:val="both"/>
                  </w:pPr>
                  <w:r>
                    <w:rPr>
                      <w:rFonts w:ascii="仿宋_GB2312" w:hAnsi="仿宋_GB2312" w:cs="仿宋_GB2312" w:eastAsia="仿宋_GB2312"/>
                      <w:sz w:val="24"/>
                    </w:rPr>
                    <w:t>①保持干净，无污渍、无粘贴物、无异味，每日至少开展1次清洁作业。</w:t>
                  </w:r>
                </w:p>
                <w:p>
                  <w:pPr>
                    <w:pStyle w:val="null3"/>
                    <w:jc w:val="both"/>
                  </w:pPr>
                  <w:r>
                    <w:rPr>
                      <w:rFonts w:ascii="仿宋_GB2312" w:hAnsi="仿宋_GB2312" w:cs="仿宋_GB2312" w:eastAsia="仿宋_GB2312"/>
                      <w:sz w:val="24"/>
                    </w:rPr>
                    <w:t>②灯具、操作指示板明亮。</w:t>
                  </w:r>
                </w:p>
              </w:tc>
            </w:tr>
            <w:tr>
              <w:tc>
                <w:tcPr>
                  <w:tcW w:type="dxa" w:w="213"/>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17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8）平台、屋顶、天沟保持干净，有杂物及时清扫，每月至少开展1次清洁作业。</w:t>
                  </w:r>
                </w:p>
              </w:tc>
            </w:tr>
            <w:tr>
              <w:tc>
                <w:tcPr>
                  <w:tcW w:type="dxa" w:w="21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3</w:t>
                  </w:r>
                </w:p>
              </w:tc>
              <w:tc>
                <w:tcPr>
                  <w:tcW w:type="dxa" w:w="58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公共场地区域保洁</w:t>
                  </w:r>
                </w:p>
              </w:tc>
              <w:tc>
                <w:tcPr>
                  <w:tcW w:type="dxa" w:w="17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1）每日清扫道路地面、停车场等公共区域2次，保持干净、无杂物、无积水。</w:t>
                  </w:r>
                </w:p>
              </w:tc>
            </w:tr>
            <w:tr>
              <w:tc>
                <w:tcPr>
                  <w:tcW w:type="dxa" w:w="213"/>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17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2）雪、冰冻等恶劣天气时及时清扫积水、积雪，并采取安全防护措施。</w:t>
                  </w:r>
                </w:p>
              </w:tc>
            </w:tr>
            <w:tr>
              <w:tc>
                <w:tcPr>
                  <w:tcW w:type="dxa" w:w="213"/>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17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3）各种路标、宣传栏等保持干净，每月至少开展1次清洁作业。</w:t>
                  </w:r>
                </w:p>
              </w:tc>
            </w:tr>
            <w:tr>
              <w:tc>
                <w:tcPr>
                  <w:tcW w:type="dxa" w:w="213"/>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17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4）清洁室外照明设备，每月至少开展1次清洁作业。</w:t>
                  </w:r>
                </w:p>
              </w:tc>
            </w:tr>
            <w:tr>
              <w:tc>
                <w:tcPr>
                  <w:tcW w:type="dxa" w:w="213"/>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17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5）绿地内无杂物、无改变用途和破坏、践踏、占用现象，每天至少开展1次巡查。</w:t>
                  </w:r>
                </w:p>
              </w:tc>
            </w:tr>
            <w:tr>
              <w:tc>
                <w:tcPr>
                  <w:tcW w:type="dxa" w:w="213"/>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17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6）办公区外立面定期清洗、2米以上外窗玻璃擦拭，每年至少开展1次清洗。（各类材质外立面服务标准详见3.4.1）</w:t>
                  </w:r>
                </w:p>
              </w:tc>
            </w:tr>
            <w:tr>
              <w:tc>
                <w:tcPr>
                  <w:tcW w:type="dxa" w:w="21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4</w:t>
                  </w:r>
                </w:p>
              </w:tc>
              <w:tc>
                <w:tcPr>
                  <w:tcW w:type="dxa" w:w="58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垃圾处理</w:t>
                  </w:r>
                </w:p>
              </w:tc>
              <w:tc>
                <w:tcPr>
                  <w:tcW w:type="dxa" w:w="17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1）在指定位置摆放分类垃圾桶，并在显著处张贴垃圾分类标识。分类垃圾桶和垃圾分类标识根据所在城市的要求设置。</w:t>
                  </w:r>
                </w:p>
              </w:tc>
            </w:tr>
            <w:tr>
              <w:tc>
                <w:tcPr>
                  <w:tcW w:type="dxa" w:w="213"/>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17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2）桶身表面干净无污渍，每日开展至少1次清洁作业。</w:t>
                  </w:r>
                </w:p>
              </w:tc>
            </w:tr>
            <w:tr>
              <w:tc>
                <w:tcPr>
                  <w:tcW w:type="dxa" w:w="213"/>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17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3）垃圾中转房保持整洁，无明显异味，每日至少开展1次清洁作业。</w:t>
                  </w:r>
                </w:p>
              </w:tc>
            </w:tr>
            <w:tr>
              <w:tc>
                <w:tcPr>
                  <w:tcW w:type="dxa" w:w="213"/>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17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4）化粪池清掏，无明显异味，每半年至少开展1次清洁作业。</w:t>
                  </w:r>
                </w:p>
              </w:tc>
            </w:tr>
            <w:tr>
              <w:tc>
                <w:tcPr>
                  <w:tcW w:type="dxa" w:w="213"/>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17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5）每个工作日内要对楼层产生的垃圾，进行清理分类，并运至垃圾集中堆放点。</w:t>
                  </w:r>
                </w:p>
              </w:tc>
            </w:tr>
            <w:tr>
              <w:tc>
                <w:tcPr>
                  <w:tcW w:type="dxa" w:w="213"/>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17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6）垃圾装袋，日产日清。</w:t>
                  </w:r>
                </w:p>
              </w:tc>
            </w:tr>
            <w:tr>
              <w:tc>
                <w:tcPr>
                  <w:tcW w:type="dxa" w:w="213"/>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17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7）建立垃圾清运台账，交由规范的渠道回收处理。</w:t>
                  </w:r>
                </w:p>
              </w:tc>
            </w:tr>
            <w:tr>
              <w:tc>
                <w:tcPr>
                  <w:tcW w:type="dxa" w:w="213"/>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17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8）做好垃圾分类管理的宣传工作，督促并引导全员参与垃圾分类投放。</w:t>
                  </w:r>
                </w:p>
              </w:tc>
            </w:tr>
            <w:tr>
              <w:tc>
                <w:tcPr>
                  <w:tcW w:type="dxa" w:w="213"/>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17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9）垃圾分类投放管理工作的执行标准，按所在城市的要求执行。</w:t>
                  </w:r>
                </w:p>
              </w:tc>
            </w:tr>
            <w:tr>
              <w:tc>
                <w:tcPr>
                  <w:tcW w:type="dxa" w:w="213"/>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5</w:t>
                  </w:r>
                </w:p>
              </w:tc>
              <w:tc>
                <w:tcPr>
                  <w:tcW w:type="dxa" w:w="58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卫生消毒</w:t>
                  </w:r>
                </w:p>
              </w:tc>
              <w:tc>
                <w:tcPr>
                  <w:tcW w:type="dxa" w:w="17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1）办公用房区域、公共场所区域和周围环境预防性卫生消毒，消毒后及时通风，每周至少开展1次作业。</w:t>
                  </w:r>
                </w:p>
              </w:tc>
            </w:tr>
            <w:tr>
              <w:tc>
                <w:tcPr>
                  <w:tcW w:type="dxa" w:w="213"/>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17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2）采取综合措施消灭老鼠、蟑螂，控制室内外蚊虫孳生，达到基本无蝇，每季度至少开展1次作业。</w:t>
                  </w:r>
                </w:p>
              </w:tc>
            </w:tr>
            <w:tr>
              <w:tc>
                <w:tcPr>
                  <w:tcW w:type="dxa" w:w="213"/>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17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3）发生公共卫生事件时，邀请专业单位开展消毒、检测等工作。</w:t>
                  </w:r>
                </w:p>
              </w:tc>
            </w:tr>
          </w:tbl>
          <w:p>
            <w:pPr>
              <w:pStyle w:val="null3"/>
              <w:jc w:val="both"/>
            </w:pPr>
            <w:r>
              <w:rPr>
                <w:rFonts w:ascii="仿宋_GB2312" w:hAnsi="仿宋_GB2312" w:cs="仿宋_GB2312" w:eastAsia="仿宋_GB2312"/>
                <w:sz w:val="24"/>
              </w:rPr>
              <w:t xml:space="preserve"> 3.4.1具体清洁要求</w:t>
            </w:r>
          </w:p>
          <w:tbl>
            <w:tblPr>
              <w:tblBorders>
                <w:top w:val="none" w:color="000000" w:sz="4"/>
                <w:left w:val="none" w:color="000000" w:sz="4"/>
                <w:bottom w:val="none" w:color="000000" w:sz="4"/>
                <w:right w:val="none" w:color="000000" w:sz="4"/>
                <w:insideH w:val="none"/>
                <w:insideV w:val="none"/>
              </w:tblBorders>
            </w:tblPr>
            <w:tblGrid>
              <w:gridCol w:w="216"/>
              <w:gridCol w:w="587"/>
              <w:gridCol w:w="1747"/>
            </w:tblGrid>
            <w:tr>
              <w:tc>
                <w:tcPr>
                  <w:tcW w:type="dxa" w:w="21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序号</w:t>
                  </w:r>
                </w:p>
              </w:tc>
              <w:tc>
                <w:tcPr>
                  <w:tcW w:type="dxa" w:w="58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材质</w:t>
                  </w:r>
                </w:p>
              </w:tc>
              <w:tc>
                <w:tcPr>
                  <w:tcW w:type="dxa" w:w="174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清洁要求</w:t>
                  </w:r>
                </w:p>
              </w:tc>
            </w:tr>
            <w:tr>
              <w:tc>
                <w:tcPr>
                  <w:tcW w:type="dxa" w:w="21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58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瓷砖地面</w:t>
                  </w:r>
                </w:p>
              </w:tc>
              <w:tc>
                <w:tcPr>
                  <w:tcW w:type="dxa" w:w="17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1）日常清洁：推尘，保持地面干净无杂物。</w:t>
                  </w:r>
                </w:p>
              </w:tc>
            </w:tr>
            <w:tr>
              <w:tc>
                <w:tcPr>
                  <w:tcW w:type="dxa" w:w="216"/>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17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2）深度清洁：使用洗洁精或肥皂水清理。</w:t>
                  </w:r>
                </w:p>
              </w:tc>
            </w:tr>
            <w:tr>
              <w:tc>
                <w:tcPr>
                  <w:tcW w:type="dxa" w:w="21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587"/>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石材地面</w:t>
                  </w:r>
                </w:p>
              </w:tc>
              <w:tc>
                <w:tcPr>
                  <w:tcW w:type="dxa" w:w="17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1）根据各区域的人流量及大理石的实际磨损程度制定大理石的晶面保养计划。</w:t>
                  </w:r>
                </w:p>
              </w:tc>
            </w:tr>
            <w:tr>
              <w:tc>
                <w:tcPr>
                  <w:tcW w:type="dxa" w:w="216"/>
                  <w:vMerge/>
                  <w:tcBorders>
                    <w:top w:val="none" w:color="000000" w:sz="4"/>
                    <w:left w:val="single" w:color="000000" w:sz="4"/>
                    <w:bottom w:val="single" w:color="000000" w:sz="4"/>
                    <w:right w:val="single" w:color="000000" w:sz="4"/>
                  </w:tcBorders>
                </w:tcPr>
                <w:p/>
              </w:tc>
              <w:tc>
                <w:tcPr>
                  <w:tcW w:type="dxa" w:w="587"/>
                  <w:vMerge/>
                  <w:tcBorders>
                    <w:top w:val="none" w:color="000000" w:sz="4"/>
                    <w:left w:val="none" w:color="000000" w:sz="4"/>
                    <w:bottom w:val="single" w:color="000000" w:sz="4"/>
                    <w:right w:val="single" w:color="000000" w:sz="4"/>
                  </w:tcBorders>
                </w:tcPr>
                <w:p/>
              </w:tc>
              <w:tc>
                <w:tcPr>
                  <w:tcW w:type="dxa" w:w="17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2）启动晶面机，使用中性清洁剂清洁，避免使用强酸或强碱清洁剂，定期进行基础维护。</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3</w:t>
                  </w:r>
                </w:p>
              </w:tc>
              <w:tc>
                <w:tcPr>
                  <w:tcW w:type="dxa" w:w="5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乳胶漆内墙</w:t>
                  </w:r>
                </w:p>
              </w:tc>
              <w:tc>
                <w:tcPr>
                  <w:tcW w:type="dxa" w:w="17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有污渍时用半干布擦拭。</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4</w:t>
                  </w:r>
                </w:p>
              </w:tc>
              <w:tc>
                <w:tcPr>
                  <w:tcW w:type="dxa" w:w="5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真石漆外墙</w:t>
                  </w:r>
                </w:p>
              </w:tc>
              <w:tc>
                <w:tcPr>
                  <w:tcW w:type="dxa" w:w="17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定期专业清洗。</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5</w:t>
                  </w:r>
                </w:p>
              </w:tc>
              <w:tc>
                <w:tcPr>
                  <w:tcW w:type="dxa" w:w="5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瓷砖外墙</w:t>
                  </w:r>
                </w:p>
              </w:tc>
              <w:tc>
                <w:tcPr>
                  <w:tcW w:type="dxa" w:w="17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定期专业清洗。</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6</w:t>
                  </w:r>
                </w:p>
              </w:tc>
              <w:tc>
                <w:tcPr>
                  <w:tcW w:type="dxa" w:w="5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保温一体板外墙</w:t>
                  </w:r>
                </w:p>
              </w:tc>
              <w:tc>
                <w:tcPr>
                  <w:tcW w:type="dxa" w:w="17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定期专业清洗。</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7</w:t>
                  </w:r>
                </w:p>
              </w:tc>
              <w:tc>
                <w:tcPr>
                  <w:tcW w:type="dxa" w:w="5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铝板外墙</w:t>
                  </w:r>
                </w:p>
              </w:tc>
              <w:tc>
                <w:tcPr>
                  <w:tcW w:type="dxa" w:w="17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定期专业清洗。</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8</w:t>
                  </w:r>
                </w:p>
              </w:tc>
              <w:tc>
                <w:tcPr>
                  <w:tcW w:type="dxa" w:w="5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干挂石材外墙</w:t>
                  </w:r>
                </w:p>
              </w:tc>
              <w:tc>
                <w:tcPr>
                  <w:tcW w:type="dxa" w:w="17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定期专业清洗。</w:t>
                  </w:r>
                </w:p>
              </w:tc>
            </w:tr>
            <w:tr>
              <w:tc>
                <w:tcPr>
                  <w:tcW w:type="dxa" w:w="21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9</w:t>
                  </w:r>
                </w:p>
              </w:tc>
              <w:tc>
                <w:tcPr>
                  <w:tcW w:type="dxa" w:w="5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玻璃幕墙外墙</w:t>
                  </w:r>
                </w:p>
              </w:tc>
              <w:tc>
                <w:tcPr>
                  <w:tcW w:type="dxa" w:w="17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定期专业清洗。</w:t>
                  </w:r>
                </w:p>
              </w:tc>
            </w:tr>
          </w:tbl>
          <w:p>
            <w:pPr>
              <w:pStyle w:val="null3"/>
              <w:jc w:val="both"/>
            </w:pPr>
            <w:r>
              <w:rPr>
                <w:rFonts w:ascii="仿宋_GB2312" w:hAnsi="仿宋_GB2312" w:cs="仿宋_GB2312" w:eastAsia="仿宋_GB2312"/>
                <w:sz w:val="24"/>
              </w:rPr>
              <w:t>注：根据物业用材情况选择清洁要求</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3.5保安服务</w:t>
            </w:r>
          </w:p>
          <w:tbl>
            <w:tblPr>
              <w:tblBorders>
                <w:top w:val="none" w:color="000000" w:sz="4"/>
                <w:left w:val="none" w:color="000000" w:sz="4"/>
                <w:bottom w:val="none" w:color="000000" w:sz="4"/>
                <w:right w:val="none" w:color="000000" w:sz="4"/>
                <w:insideH w:val="none"/>
                <w:insideV w:val="none"/>
              </w:tblBorders>
            </w:tblPr>
            <w:tblGrid>
              <w:gridCol w:w="219"/>
              <w:gridCol w:w="589"/>
              <w:gridCol w:w="1742"/>
            </w:tblGrid>
            <w:tr>
              <w:tc>
                <w:tcPr>
                  <w:tcW w:type="dxa" w:w="21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58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服务内容</w:t>
                  </w:r>
                </w:p>
              </w:tc>
              <w:tc>
                <w:tcPr>
                  <w:tcW w:type="dxa" w:w="174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服务标准</w:t>
                  </w:r>
                </w:p>
              </w:tc>
            </w:tr>
            <w:tr>
              <w:tc>
                <w:tcPr>
                  <w:tcW w:type="dxa" w:w="219"/>
                  <w:vMerge w:val="restart"/>
                  <w:tcBorders>
                    <w:top w:val="none" w:color="000000" w:sz="4"/>
                    <w:left w:val="single" w:color="000000" w:sz="4"/>
                    <w:bottom w:val="outset"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89"/>
                  <w:vMerge w:val="restart"/>
                  <w:tcBorders>
                    <w:top w:val="none" w:color="000000" w:sz="4"/>
                    <w:left w:val="none" w:color="000000" w:sz="4"/>
                    <w:bottom w:val="outset"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基本要求</w:t>
                  </w:r>
                </w:p>
              </w:tc>
              <w:tc>
                <w:tcPr>
                  <w:tcW w:type="dxa" w:w="17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24小时负责进出口门卫安全管理工作</w:t>
                  </w:r>
                  <w:r>
                    <w:rPr>
                      <w:rFonts w:ascii="仿宋_GB2312" w:hAnsi="仿宋_GB2312" w:cs="仿宋_GB2312" w:eastAsia="仿宋_GB2312"/>
                      <w:sz w:val="24"/>
                    </w:rPr>
                    <w:t>。</w:t>
                  </w:r>
                </w:p>
              </w:tc>
            </w:tr>
            <w:tr>
              <w:tc>
                <w:tcPr>
                  <w:tcW w:type="dxa" w:w="219"/>
                  <w:vMerge/>
                  <w:tcBorders>
                    <w:top w:val="none" w:color="000000" w:sz="4"/>
                    <w:left w:val="single" w:color="000000" w:sz="4"/>
                    <w:bottom w:val="outset" w:color="000000" w:sz="4"/>
                    <w:right w:val="single" w:color="000000" w:sz="4"/>
                  </w:tcBorders>
                </w:tcPr>
                <w:p/>
              </w:tc>
              <w:tc>
                <w:tcPr>
                  <w:tcW w:type="dxa" w:w="589"/>
                  <w:vMerge/>
                  <w:tcBorders>
                    <w:top w:val="none" w:color="000000" w:sz="4"/>
                    <w:left w:val="none" w:color="000000" w:sz="4"/>
                    <w:bottom w:val="outset" w:color="000000" w:sz="4"/>
                    <w:right w:val="single" w:color="000000" w:sz="4"/>
                  </w:tcBorders>
                </w:tcPr>
                <w:p/>
              </w:tc>
              <w:tc>
                <w:tcPr>
                  <w:tcW w:type="dxa" w:w="17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园内</w:t>
                  </w:r>
                  <w:r>
                    <w:rPr>
                      <w:rFonts w:ascii="仿宋_GB2312" w:hAnsi="仿宋_GB2312" w:cs="仿宋_GB2312" w:eastAsia="仿宋_GB2312"/>
                      <w:sz w:val="24"/>
                    </w:rPr>
                    <w:t>24小时安全巡视工作</w:t>
                  </w:r>
                  <w:r>
                    <w:rPr>
                      <w:rFonts w:ascii="仿宋_GB2312" w:hAnsi="仿宋_GB2312" w:cs="仿宋_GB2312" w:eastAsia="仿宋_GB2312"/>
                      <w:sz w:val="24"/>
                    </w:rPr>
                    <w:t>。</w:t>
                  </w:r>
                </w:p>
              </w:tc>
            </w:tr>
            <w:tr>
              <w:tc>
                <w:tcPr>
                  <w:tcW w:type="dxa" w:w="219"/>
                  <w:vMerge/>
                  <w:tcBorders>
                    <w:top w:val="none" w:color="000000" w:sz="4"/>
                    <w:left w:val="single" w:color="000000" w:sz="4"/>
                    <w:bottom w:val="outset" w:color="000000" w:sz="4"/>
                    <w:right w:val="single" w:color="000000" w:sz="4"/>
                  </w:tcBorders>
                </w:tcPr>
                <w:p/>
              </w:tc>
              <w:tc>
                <w:tcPr>
                  <w:tcW w:type="dxa" w:w="589"/>
                  <w:vMerge/>
                  <w:tcBorders>
                    <w:top w:val="none" w:color="000000" w:sz="4"/>
                    <w:left w:val="none" w:color="000000" w:sz="4"/>
                    <w:bottom w:val="outset" w:color="000000" w:sz="4"/>
                    <w:right w:val="single" w:color="000000" w:sz="4"/>
                  </w:tcBorders>
                </w:tcPr>
                <w:p/>
              </w:tc>
              <w:tc>
                <w:tcPr>
                  <w:tcW w:type="dxa" w:w="17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外来人员及车辆的登记管理工作，并引导外来车辆停放到指定位置</w:t>
                  </w:r>
                  <w:r>
                    <w:rPr>
                      <w:rFonts w:ascii="仿宋_GB2312" w:hAnsi="仿宋_GB2312" w:cs="仿宋_GB2312" w:eastAsia="仿宋_GB2312"/>
                      <w:sz w:val="24"/>
                    </w:rPr>
                    <w:t>。</w:t>
                  </w:r>
                </w:p>
              </w:tc>
            </w:tr>
            <w:tr>
              <w:tc>
                <w:tcPr>
                  <w:tcW w:type="dxa" w:w="219"/>
                  <w:vMerge/>
                  <w:tcBorders>
                    <w:top w:val="none" w:color="000000" w:sz="4"/>
                    <w:left w:val="single" w:color="000000" w:sz="4"/>
                    <w:bottom w:val="outset" w:color="000000" w:sz="4"/>
                    <w:right w:val="single" w:color="000000" w:sz="4"/>
                  </w:tcBorders>
                </w:tcPr>
                <w:p/>
              </w:tc>
              <w:tc>
                <w:tcPr>
                  <w:tcW w:type="dxa" w:w="589"/>
                  <w:vMerge/>
                  <w:tcBorders>
                    <w:top w:val="none" w:color="000000" w:sz="4"/>
                    <w:left w:val="none" w:color="000000" w:sz="4"/>
                    <w:bottom w:val="outset" w:color="000000" w:sz="4"/>
                    <w:right w:val="single" w:color="000000" w:sz="4"/>
                  </w:tcBorders>
                </w:tcPr>
                <w:p/>
              </w:tc>
              <w:tc>
                <w:tcPr>
                  <w:tcW w:type="dxa" w:w="17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上下</w:t>
                  </w:r>
                  <w:r>
                    <w:rPr>
                      <w:rFonts w:ascii="仿宋_GB2312" w:hAnsi="仿宋_GB2312" w:cs="仿宋_GB2312" w:eastAsia="仿宋_GB2312"/>
                      <w:sz w:val="24"/>
                    </w:rPr>
                    <w:t>班</w:t>
                  </w:r>
                  <w:r>
                    <w:rPr>
                      <w:rFonts w:ascii="仿宋_GB2312" w:hAnsi="仿宋_GB2312" w:cs="仿宋_GB2312" w:eastAsia="仿宋_GB2312"/>
                      <w:sz w:val="24"/>
                    </w:rPr>
                    <w:t>秩序和安全维护工作。</w:t>
                  </w:r>
                </w:p>
              </w:tc>
            </w:tr>
            <w:tr>
              <w:tc>
                <w:tcPr>
                  <w:tcW w:type="dxa" w:w="219"/>
                  <w:vMerge/>
                  <w:tcBorders>
                    <w:top w:val="none" w:color="000000" w:sz="4"/>
                    <w:left w:val="single" w:color="000000" w:sz="4"/>
                    <w:bottom w:val="outset" w:color="000000" w:sz="4"/>
                    <w:right w:val="single" w:color="000000" w:sz="4"/>
                  </w:tcBorders>
                </w:tcPr>
                <w:p/>
              </w:tc>
              <w:tc>
                <w:tcPr>
                  <w:tcW w:type="dxa" w:w="589"/>
                  <w:vMerge/>
                  <w:tcBorders>
                    <w:top w:val="none" w:color="000000" w:sz="4"/>
                    <w:left w:val="none" w:color="000000" w:sz="4"/>
                    <w:bottom w:val="outset" w:color="000000" w:sz="4"/>
                    <w:right w:val="single" w:color="000000" w:sz="4"/>
                  </w:tcBorders>
                </w:tcPr>
                <w:p/>
              </w:tc>
              <w:tc>
                <w:tcPr>
                  <w:tcW w:type="dxa" w:w="17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right="420"/>
                    <w:jc w:val="left"/>
                  </w:pPr>
                  <w:r>
                    <w:rPr>
                      <w:rFonts w:ascii="仿宋_GB2312" w:hAnsi="仿宋_GB2312" w:cs="仿宋_GB2312" w:eastAsia="仿宋_GB2312"/>
                      <w:sz w:val="24"/>
                    </w:rPr>
                    <w:t>（</w:t>
                  </w:r>
                  <w:r>
                    <w:rPr>
                      <w:rFonts w:ascii="仿宋_GB2312" w:hAnsi="仿宋_GB2312" w:cs="仿宋_GB2312" w:eastAsia="仿宋_GB2312"/>
                      <w:sz w:val="24"/>
                    </w:rPr>
                    <w:t>5）负责安全突发应急事件的处理。</w:t>
                  </w:r>
                </w:p>
              </w:tc>
            </w:tr>
            <w:tr>
              <w:tc>
                <w:tcPr>
                  <w:tcW w:type="dxa" w:w="219"/>
                  <w:vMerge/>
                  <w:tcBorders>
                    <w:top w:val="none" w:color="000000" w:sz="4"/>
                    <w:left w:val="single" w:color="000000" w:sz="4"/>
                    <w:bottom w:val="outset" w:color="000000" w:sz="4"/>
                    <w:right w:val="single" w:color="000000" w:sz="4"/>
                  </w:tcBorders>
                </w:tcPr>
                <w:p/>
              </w:tc>
              <w:tc>
                <w:tcPr>
                  <w:tcW w:type="dxa" w:w="589"/>
                  <w:vMerge/>
                  <w:tcBorders>
                    <w:top w:val="none" w:color="000000" w:sz="4"/>
                    <w:left w:val="none" w:color="000000" w:sz="4"/>
                    <w:bottom w:val="outset" w:color="000000" w:sz="4"/>
                    <w:right w:val="single" w:color="000000" w:sz="4"/>
                  </w:tcBorders>
                </w:tcPr>
                <w:p/>
              </w:tc>
              <w:tc>
                <w:tcPr>
                  <w:tcW w:type="dxa" w:w="17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right="420"/>
                    <w:jc w:val="left"/>
                  </w:pPr>
                  <w:r>
                    <w:rPr>
                      <w:rFonts w:ascii="仿宋_GB2312" w:hAnsi="仿宋_GB2312" w:cs="仿宋_GB2312" w:eastAsia="仿宋_GB2312"/>
                      <w:sz w:val="24"/>
                    </w:rPr>
                    <w:t>（</w:t>
                  </w:r>
                  <w:r>
                    <w:rPr>
                      <w:rFonts w:ascii="仿宋_GB2312" w:hAnsi="仿宋_GB2312" w:cs="仿宋_GB2312" w:eastAsia="仿宋_GB2312"/>
                      <w:sz w:val="24"/>
                    </w:rPr>
                    <w:t>6）负责维护活动期间安全及维护工作。</w:t>
                  </w:r>
                </w:p>
              </w:tc>
            </w:tr>
            <w:tr>
              <w:tc>
                <w:tcPr>
                  <w:tcW w:type="dxa" w:w="219"/>
                  <w:vMerge/>
                  <w:tcBorders>
                    <w:top w:val="none" w:color="000000" w:sz="4"/>
                    <w:left w:val="single" w:color="000000" w:sz="4"/>
                    <w:bottom w:val="outset" w:color="000000" w:sz="4"/>
                    <w:right w:val="single" w:color="000000" w:sz="4"/>
                  </w:tcBorders>
                </w:tcPr>
                <w:p/>
              </w:tc>
              <w:tc>
                <w:tcPr>
                  <w:tcW w:type="dxa" w:w="589"/>
                  <w:vMerge/>
                  <w:tcBorders>
                    <w:top w:val="none" w:color="000000" w:sz="4"/>
                    <w:left w:val="none" w:color="000000" w:sz="4"/>
                    <w:bottom w:val="outset" w:color="000000" w:sz="4"/>
                    <w:right w:val="single" w:color="000000" w:sz="4"/>
                  </w:tcBorders>
                </w:tcPr>
                <w:p/>
              </w:tc>
              <w:tc>
                <w:tcPr>
                  <w:tcW w:type="dxa" w:w="17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right="420"/>
                    <w:jc w:val="left"/>
                  </w:pPr>
                  <w:r>
                    <w:rPr>
                      <w:rFonts w:ascii="仿宋_GB2312" w:hAnsi="仿宋_GB2312" w:cs="仿宋_GB2312" w:eastAsia="仿宋_GB2312"/>
                      <w:sz w:val="24"/>
                    </w:rPr>
                    <w:t>（</w:t>
                  </w:r>
                  <w:r>
                    <w:rPr>
                      <w:rFonts w:ascii="仿宋_GB2312" w:hAnsi="仿宋_GB2312" w:cs="仿宋_GB2312" w:eastAsia="仿宋_GB2312"/>
                      <w:sz w:val="24"/>
                    </w:rPr>
                    <w:t>7）负责</w:t>
                  </w:r>
                  <w:r>
                    <w:rPr>
                      <w:rFonts w:ascii="仿宋_GB2312" w:hAnsi="仿宋_GB2312" w:cs="仿宋_GB2312" w:eastAsia="仿宋_GB2312"/>
                      <w:sz w:val="24"/>
                    </w:rPr>
                    <w:t>馆</w:t>
                  </w:r>
                  <w:r>
                    <w:rPr>
                      <w:rFonts w:ascii="仿宋_GB2312" w:hAnsi="仿宋_GB2312" w:cs="仿宋_GB2312" w:eastAsia="仿宋_GB2312"/>
                      <w:sz w:val="24"/>
                    </w:rPr>
                    <w:t>内的防火防盗安全工作。</w:t>
                  </w:r>
                </w:p>
              </w:tc>
            </w:tr>
            <w:tr>
              <w:tc>
                <w:tcPr>
                  <w:tcW w:type="dxa" w:w="219"/>
                  <w:vMerge/>
                  <w:tcBorders>
                    <w:top w:val="none" w:color="000000" w:sz="4"/>
                    <w:left w:val="single" w:color="000000" w:sz="4"/>
                    <w:bottom w:val="outset" w:color="000000" w:sz="4"/>
                    <w:right w:val="single" w:color="000000" w:sz="4"/>
                  </w:tcBorders>
                </w:tcPr>
                <w:p/>
              </w:tc>
              <w:tc>
                <w:tcPr>
                  <w:tcW w:type="dxa" w:w="589"/>
                  <w:vMerge/>
                  <w:tcBorders>
                    <w:top w:val="none" w:color="000000" w:sz="4"/>
                    <w:left w:val="none" w:color="000000" w:sz="4"/>
                    <w:bottom w:val="outset" w:color="000000" w:sz="4"/>
                    <w:right w:val="single" w:color="000000" w:sz="4"/>
                  </w:tcBorders>
                </w:tcPr>
                <w:p/>
              </w:tc>
              <w:tc>
                <w:tcPr>
                  <w:tcW w:type="dxa" w:w="17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right="420"/>
                    <w:jc w:val="left"/>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）负责收发信件及分发报纸。</w:t>
                  </w:r>
                </w:p>
              </w:tc>
            </w:tr>
            <w:tr>
              <w:tc>
                <w:tcPr>
                  <w:tcW w:type="dxa" w:w="219"/>
                  <w:vMerge/>
                  <w:tcBorders>
                    <w:top w:val="none" w:color="000000" w:sz="4"/>
                    <w:left w:val="single" w:color="000000" w:sz="4"/>
                    <w:bottom w:val="outset" w:color="000000" w:sz="4"/>
                    <w:right w:val="single" w:color="000000" w:sz="4"/>
                  </w:tcBorders>
                </w:tcPr>
                <w:p/>
              </w:tc>
              <w:tc>
                <w:tcPr>
                  <w:tcW w:type="dxa" w:w="589"/>
                  <w:vMerge/>
                  <w:tcBorders>
                    <w:top w:val="none" w:color="000000" w:sz="4"/>
                    <w:left w:val="none" w:color="000000" w:sz="4"/>
                    <w:bottom w:val="outset" w:color="000000" w:sz="4"/>
                    <w:right w:val="single" w:color="000000" w:sz="4"/>
                  </w:tcBorders>
                </w:tcPr>
                <w:p/>
              </w:tc>
              <w:tc>
                <w:tcPr>
                  <w:tcW w:type="dxa" w:w="17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right="420"/>
                    <w:jc w:val="left"/>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）负责门口三包责任范围内的卫生清洁工作。</w:t>
                  </w:r>
                </w:p>
              </w:tc>
            </w:tr>
            <w:tr>
              <w:tc>
                <w:tcPr>
                  <w:tcW w:type="dxa" w:w="21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8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出入管理</w:t>
                  </w:r>
                </w:p>
              </w:tc>
              <w:tc>
                <w:tcPr>
                  <w:tcW w:type="dxa" w:w="17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1）办公楼（区）主出入口应当实行 24小时值班制。</w:t>
                  </w:r>
                </w:p>
              </w:tc>
            </w:tr>
            <w:tr>
              <w:tc>
                <w:tcPr>
                  <w:tcW w:type="dxa" w:w="219"/>
                  <w:vMerge/>
                  <w:tcBorders>
                    <w:top w:val="none" w:color="000000" w:sz="4"/>
                    <w:left w:val="single" w:color="000000" w:sz="4"/>
                    <w:bottom w:val="single" w:color="000000" w:sz="4"/>
                    <w:right w:val="single" w:color="000000" w:sz="4"/>
                  </w:tcBorders>
                </w:tcPr>
                <w:p/>
              </w:tc>
              <w:tc>
                <w:tcPr>
                  <w:tcW w:type="dxa" w:w="589"/>
                  <w:vMerge/>
                  <w:tcBorders>
                    <w:top w:val="none" w:color="000000" w:sz="4"/>
                    <w:left w:val="none" w:color="000000" w:sz="4"/>
                    <w:bottom w:val="single" w:color="000000" w:sz="4"/>
                    <w:right w:val="single" w:color="000000" w:sz="4"/>
                  </w:tcBorders>
                </w:tcPr>
                <w:p/>
              </w:tc>
              <w:tc>
                <w:tcPr>
                  <w:tcW w:type="dxa" w:w="17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2）设置门岗。</w:t>
                  </w:r>
                </w:p>
              </w:tc>
            </w:tr>
            <w:tr>
              <w:tc>
                <w:tcPr>
                  <w:tcW w:type="dxa" w:w="219"/>
                  <w:vMerge/>
                  <w:tcBorders>
                    <w:top w:val="none" w:color="000000" w:sz="4"/>
                    <w:left w:val="single" w:color="000000" w:sz="4"/>
                    <w:bottom w:val="single" w:color="000000" w:sz="4"/>
                    <w:right w:val="single" w:color="000000" w:sz="4"/>
                  </w:tcBorders>
                </w:tcPr>
                <w:p/>
              </w:tc>
              <w:tc>
                <w:tcPr>
                  <w:tcW w:type="dxa" w:w="589"/>
                  <w:vMerge/>
                  <w:tcBorders>
                    <w:top w:val="none" w:color="000000" w:sz="4"/>
                    <w:left w:val="none" w:color="000000" w:sz="4"/>
                    <w:bottom w:val="single" w:color="000000" w:sz="4"/>
                    <w:right w:val="single" w:color="000000" w:sz="4"/>
                  </w:tcBorders>
                </w:tcPr>
                <w:p/>
              </w:tc>
              <w:tc>
                <w:tcPr>
                  <w:tcW w:type="dxa" w:w="17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3）在出入口对外来人员及其携带大件物品、外来车辆进行询问和记录，并与相关部门取得联系，同意后方可进入。</w:t>
                  </w:r>
                </w:p>
              </w:tc>
            </w:tr>
            <w:tr>
              <w:tc>
                <w:tcPr>
                  <w:tcW w:type="dxa" w:w="219"/>
                  <w:vMerge/>
                  <w:tcBorders>
                    <w:top w:val="none" w:color="000000" w:sz="4"/>
                    <w:left w:val="single" w:color="000000" w:sz="4"/>
                    <w:bottom w:val="single" w:color="000000" w:sz="4"/>
                    <w:right w:val="single" w:color="000000" w:sz="4"/>
                  </w:tcBorders>
                </w:tcPr>
                <w:p/>
              </w:tc>
              <w:tc>
                <w:tcPr>
                  <w:tcW w:type="dxa" w:w="589"/>
                  <w:vMerge/>
                  <w:tcBorders>
                    <w:top w:val="none" w:color="000000" w:sz="4"/>
                    <w:left w:val="none" w:color="000000" w:sz="4"/>
                    <w:bottom w:val="single" w:color="000000" w:sz="4"/>
                    <w:right w:val="single" w:color="000000" w:sz="4"/>
                  </w:tcBorders>
                </w:tcPr>
                <w:p/>
              </w:tc>
              <w:tc>
                <w:tcPr>
                  <w:tcW w:type="dxa" w:w="17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4）大件物品搬出有相关部门开具的证明和清单，经核实后放行。</w:t>
                  </w:r>
                </w:p>
              </w:tc>
            </w:tr>
            <w:tr>
              <w:tc>
                <w:tcPr>
                  <w:tcW w:type="dxa" w:w="219"/>
                  <w:vMerge/>
                  <w:tcBorders>
                    <w:top w:val="none" w:color="000000" w:sz="4"/>
                    <w:left w:val="single" w:color="000000" w:sz="4"/>
                    <w:bottom w:val="single" w:color="000000" w:sz="4"/>
                    <w:right w:val="single" w:color="000000" w:sz="4"/>
                  </w:tcBorders>
                </w:tcPr>
                <w:p/>
              </w:tc>
              <w:tc>
                <w:tcPr>
                  <w:tcW w:type="dxa" w:w="589"/>
                  <w:vMerge/>
                  <w:tcBorders>
                    <w:top w:val="none" w:color="000000" w:sz="4"/>
                    <w:left w:val="none" w:color="000000" w:sz="4"/>
                    <w:bottom w:val="single" w:color="000000" w:sz="4"/>
                    <w:right w:val="single" w:color="000000" w:sz="4"/>
                  </w:tcBorders>
                </w:tcPr>
                <w:p/>
              </w:tc>
              <w:tc>
                <w:tcPr>
                  <w:tcW w:type="dxa" w:w="17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5）排查可疑人员，对于不出示证件、不按规定登记、不听劝阻而强行闯入者，及时劝离，必要时通知公安机关进行处理。</w:t>
                  </w:r>
                </w:p>
              </w:tc>
            </w:tr>
            <w:tr>
              <w:tc>
                <w:tcPr>
                  <w:tcW w:type="dxa" w:w="219"/>
                  <w:vMerge/>
                  <w:tcBorders>
                    <w:top w:val="none" w:color="000000" w:sz="4"/>
                    <w:left w:val="single" w:color="000000" w:sz="4"/>
                    <w:bottom w:val="single" w:color="000000" w:sz="4"/>
                    <w:right w:val="single" w:color="000000" w:sz="4"/>
                  </w:tcBorders>
                </w:tcPr>
                <w:p/>
              </w:tc>
              <w:tc>
                <w:tcPr>
                  <w:tcW w:type="dxa" w:w="589"/>
                  <w:vMerge/>
                  <w:tcBorders>
                    <w:top w:val="none" w:color="000000" w:sz="4"/>
                    <w:left w:val="none" w:color="000000" w:sz="4"/>
                    <w:bottom w:val="single" w:color="000000" w:sz="4"/>
                    <w:right w:val="single" w:color="000000" w:sz="4"/>
                  </w:tcBorders>
                </w:tcPr>
                <w:p/>
              </w:tc>
              <w:tc>
                <w:tcPr>
                  <w:tcW w:type="dxa" w:w="17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6）配合相关部门积极疏导上访人员，有效疏导如出入口人群集聚、车辆拥堵、货物堵塞道路等情况。</w:t>
                  </w:r>
                </w:p>
              </w:tc>
            </w:tr>
            <w:tr>
              <w:tc>
                <w:tcPr>
                  <w:tcW w:type="dxa" w:w="219"/>
                  <w:vMerge/>
                  <w:tcBorders>
                    <w:top w:val="none" w:color="000000" w:sz="4"/>
                    <w:left w:val="single" w:color="000000" w:sz="4"/>
                    <w:bottom w:val="single" w:color="000000" w:sz="4"/>
                    <w:right w:val="single" w:color="000000" w:sz="4"/>
                  </w:tcBorders>
                </w:tcPr>
                <w:p/>
              </w:tc>
              <w:tc>
                <w:tcPr>
                  <w:tcW w:type="dxa" w:w="589"/>
                  <w:vMerge/>
                  <w:tcBorders>
                    <w:top w:val="none" w:color="000000" w:sz="4"/>
                    <w:left w:val="none" w:color="000000" w:sz="4"/>
                    <w:bottom w:val="single" w:color="000000" w:sz="4"/>
                    <w:right w:val="single" w:color="000000" w:sz="4"/>
                  </w:tcBorders>
                </w:tcPr>
                <w:p/>
              </w:tc>
              <w:tc>
                <w:tcPr>
                  <w:tcW w:type="dxa" w:w="17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根据物业服务合同约定，对物品进出实行安检、登记、电话确认等分类管理措施。大宗物品进出会同接收单位收件人审检，严防违禁品（包括毒品、军火弹药、管制刀具、易燃易爆品等）、限带品（包括动物、任何未经授权的专业摄影设备、无人机等）进入。</w:t>
                  </w:r>
                </w:p>
              </w:tc>
            </w:tr>
            <w:tr>
              <w:tc>
                <w:tcPr>
                  <w:tcW w:type="dxa" w:w="219"/>
                  <w:vMerge/>
                  <w:tcBorders>
                    <w:top w:val="none" w:color="000000" w:sz="4"/>
                    <w:left w:val="single" w:color="000000" w:sz="4"/>
                    <w:bottom w:val="single" w:color="000000" w:sz="4"/>
                    <w:right w:val="single" w:color="000000" w:sz="4"/>
                  </w:tcBorders>
                </w:tcPr>
                <w:p/>
              </w:tc>
              <w:tc>
                <w:tcPr>
                  <w:tcW w:type="dxa" w:w="589"/>
                  <w:vMerge/>
                  <w:tcBorders>
                    <w:top w:val="none" w:color="000000" w:sz="4"/>
                    <w:left w:val="none" w:color="000000" w:sz="4"/>
                    <w:bottom w:val="single" w:color="000000" w:sz="4"/>
                    <w:right w:val="single" w:color="000000" w:sz="4"/>
                  </w:tcBorders>
                </w:tcPr>
                <w:p/>
              </w:tc>
              <w:tc>
                <w:tcPr>
                  <w:tcW w:type="dxa" w:w="17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8）提供现场接待服务。</w:t>
                  </w:r>
                </w:p>
                <w:p>
                  <w:pPr>
                    <w:pStyle w:val="null3"/>
                    <w:jc w:val="both"/>
                  </w:pPr>
                  <w:r>
                    <w:rPr>
                      <w:rFonts w:ascii="仿宋_GB2312" w:hAnsi="仿宋_GB2312" w:cs="仿宋_GB2312" w:eastAsia="仿宋_GB2312"/>
                      <w:sz w:val="24"/>
                    </w:rPr>
                    <w:t>①做好来访人员、车辆进出证件登记，及时通报。</w:t>
                  </w:r>
                </w:p>
                <w:p>
                  <w:pPr>
                    <w:pStyle w:val="null3"/>
                    <w:jc w:val="both"/>
                  </w:pPr>
                  <w:r>
                    <w:rPr>
                      <w:rFonts w:ascii="仿宋_GB2312" w:hAnsi="仿宋_GB2312" w:cs="仿宋_GB2312" w:eastAsia="仿宋_GB2312"/>
                      <w:sz w:val="24"/>
                    </w:rPr>
                    <w:t>②严禁无关人员、可疑人员和危险物品进入办公楼（区）内。</w:t>
                  </w:r>
                </w:p>
                <w:p>
                  <w:pPr>
                    <w:pStyle w:val="null3"/>
                    <w:jc w:val="both"/>
                  </w:pPr>
                  <w:r>
                    <w:rPr>
                      <w:rFonts w:ascii="仿宋_GB2312" w:hAnsi="仿宋_GB2312" w:cs="仿宋_GB2312" w:eastAsia="仿宋_GB2312"/>
                      <w:sz w:val="24"/>
                    </w:rPr>
                    <w:t>③物品摆放整齐有序、分类放置。</w:t>
                  </w:r>
                </w:p>
                <w:p>
                  <w:pPr>
                    <w:pStyle w:val="null3"/>
                    <w:jc w:val="both"/>
                  </w:pPr>
                  <w:r>
                    <w:rPr>
                      <w:rFonts w:ascii="仿宋_GB2312" w:hAnsi="仿宋_GB2312" w:cs="仿宋_GB2312" w:eastAsia="仿宋_GB2312"/>
                      <w:sz w:val="24"/>
                    </w:rPr>
                    <w:t>④现场办理等待时间不超过5分钟，等待较长时间应当及时沟通。</w:t>
                  </w:r>
                </w:p>
                <w:p>
                  <w:pPr>
                    <w:pStyle w:val="null3"/>
                    <w:jc w:val="both"/>
                  </w:pPr>
                  <w:r>
                    <w:rPr>
                      <w:rFonts w:ascii="仿宋_GB2312" w:hAnsi="仿宋_GB2312" w:cs="仿宋_GB2312" w:eastAsia="仿宋_GB2312"/>
                      <w:sz w:val="24"/>
                    </w:rPr>
                    <w:t>⑤对来访人员咨询、建议、求助等事项，及时处理或答复，处理和答复率100%。</w:t>
                  </w:r>
                </w:p>
                <w:p>
                  <w:pPr>
                    <w:pStyle w:val="null3"/>
                    <w:jc w:val="both"/>
                  </w:pPr>
                  <w:r>
                    <w:rPr>
                      <w:rFonts w:ascii="仿宋_GB2312" w:hAnsi="仿宋_GB2312" w:cs="仿宋_GB2312" w:eastAsia="仿宋_GB2312"/>
                      <w:sz w:val="24"/>
                    </w:rPr>
                    <w:t>⑥接待服务工作时间应当覆盖采购人工作时间。</w:t>
                  </w:r>
                </w:p>
                <w:p>
                  <w:pPr>
                    <w:pStyle w:val="null3"/>
                    <w:jc w:val="both"/>
                  </w:pPr>
                  <w:r>
                    <w:rPr>
                      <w:rFonts w:ascii="仿宋_GB2312" w:hAnsi="仿宋_GB2312" w:cs="仿宋_GB2312" w:eastAsia="仿宋_GB2312"/>
                      <w:sz w:val="24"/>
                    </w:rPr>
                    <w:t>⑦与被访人进行核实确认；告知被访人的办公室门牌号；告知访客注意事项（根据实际需要填写注意事项）。</w:t>
                  </w:r>
                </w:p>
              </w:tc>
            </w:tr>
            <w:tr>
              <w:tc>
                <w:tcPr>
                  <w:tcW w:type="dxa" w:w="21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8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值班巡查</w:t>
                  </w:r>
                </w:p>
              </w:tc>
              <w:tc>
                <w:tcPr>
                  <w:tcW w:type="dxa" w:w="17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1）建立24小时值班巡查制度。</w:t>
                  </w:r>
                </w:p>
              </w:tc>
            </w:tr>
            <w:tr>
              <w:tc>
                <w:tcPr>
                  <w:tcW w:type="dxa" w:w="219"/>
                  <w:vMerge/>
                  <w:tcBorders>
                    <w:top w:val="none" w:color="000000" w:sz="4"/>
                    <w:left w:val="single" w:color="000000" w:sz="4"/>
                    <w:bottom w:val="single" w:color="000000" w:sz="4"/>
                    <w:right w:val="single" w:color="000000" w:sz="4"/>
                  </w:tcBorders>
                </w:tcPr>
                <w:p/>
              </w:tc>
              <w:tc>
                <w:tcPr>
                  <w:tcW w:type="dxa" w:w="589"/>
                  <w:vMerge/>
                  <w:tcBorders>
                    <w:top w:val="none" w:color="000000" w:sz="4"/>
                    <w:left w:val="none" w:color="000000" w:sz="4"/>
                    <w:bottom w:val="single" w:color="000000" w:sz="4"/>
                    <w:right w:val="single" w:color="000000" w:sz="4"/>
                  </w:tcBorders>
                </w:tcPr>
                <w:p/>
              </w:tc>
              <w:tc>
                <w:tcPr>
                  <w:tcW w:type="dxa" w:w="17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2）制定巡查路线，按照指定时间和路线执行，加强重点区域、重点部位及装修区域的巡查。</w:t>
                  </w:r>
                </w:p>
              </w:tc>
            </w:tr>
            <w:tr>
              <w:tc>
                <w:tcPr>
                  <w:tcW w:type="dxa" w:w="219"/>
                  <w:vMerge/>
                  <w:tcBorders>
                    <w:top w:val="none" w:color="000000" w:sz="4"/>
                    <w:left w:val="single" w:color="000000" w:sz="4"/>
                    <w:bottom w:val="single" w:color="000000" w:sz="4"/>
                    <w:right w:val="single" w:color="000000" w:sz="4"/>
                  </w:tcBorders>
                </w:tcPr>
                <w:p/>
              </w:tc>
              <w:tc>
                <w:tcPr>
                  <w:tcW w:type="dxa" w:w="589"/>
                  <w:vMerge/>
                  <w:tcBorders>
                    <w:top w:val="none" w:color="000000" w:sz="4"/>
                    <w:left w:val="none" w:color="000000" w:sz="4"/>
                    <w:bottom w:val="single" w:color="000000" w:sz="4"/>
                    <w:right w:val="single" w:color="000000" w:sz="4"/>
                  </w:tcBorders>
                </w:tcPr>
                <w:p/>
              </w:tc>
              <w:tc>
                <w:tcPr>
                  <w:tcW w:type="dxa" w:w="17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3）巡查期间保持通信设施设备畅通，遇到异常情况立即上报并在现场采取相应措施。</w:t>
                  </w:r>
                </w:p>
              </w:tc>
            </w:tr>
            <w:tr>
              <w:tc>
                <w:tcPr>
                  <w:tcW w:type="dxa" w:w="219"/>
                  <w:vMerge/>
                  <w:tcBorders>
                    <w:top w:val="none" w:color="000000" w:sz="4"/>
                    <w:left w:val="single" w:color="000000" w:sz="4"/>
                    <w:bottom w:val="single" w:color="000000" w:sz="4"/>
                    <w:right w:val="single" w:color="000000" w:sz="4"/>
                  </w:tcBorders>
                </w:tcPr>
                <w:p/>
              </w:tc>
              <w:tc>
                <w:tcPr>
                  <w:tcW w:type="dxa" w:w="589"/>
                  <w:vMerge/>
                  <w:tcBorders>
                    <w:top w:val="none" w:color="000000" w:sz="4"/>
                    <w:left w:val="none" w:color="000000" w:sz="4"/>
                    <w:bottom w:val="single" w:color="000000" w:sz="4"/>
                    <w:right w:val="single" w:color="000000" w:sz="4"/>
                  </w:tcBorders>
                </w:tcPr>
                <w:p/>
              </w:tc>
              <w:tc>
                <w:tcPr>
                  <w:tcW w:type="dxa" w:w="17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4）收到监控室指令后，巡查人员及时到达指定地点并迅速采取相应措施。</w:t>
                  </w:r>
                </w:p>
              </w:tc>
            </w:tr>
            <w:tr>
              <w:tc>
                <w:tcPr>
                  <w:tcW w:type="dxa" w:w="21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58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监控值守</w:t>
                  </w:r>
                </w:p>
              </w:tc>
              <w:tc>
                <w:tcPr>
                  <w:tcW w:type="dxa" w:w="17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1）监控室环境符合系统设备运行要求，定期进行检查和检测，确保系统功能正常。</w:t>
                  </w:r>
                </w:p>
              </w:tc>
            </w:tr>
            <w:tr>
              <w:tc>
                <w:tcPr>
                  <w:tcW w:type="dxa" w:w="219"/>
                  <w:vMerge/>
                  <w:tcBorders>
                    <w:top w:val="none" w:color="000000" w:sz="4"/>
                    <w:left w:val="single" w:color="000000" w:sz="4"/>
                    <w:bottom w:val="single" w:color="000000" w:sz="4"/>
                    <w:right w:val="single" w:color="000000" w:sz="4"/>
                  </w:tcBorders>
                </w:tcPr>
                <w:p/>
              </w:tc>
              <w:tc>
                <w:tcPr>
                  <w:tcW w:type="dxa" w:w="589"/>
                  <w:vMerge/>
                  <w:tcBorders>
                    <w:top w:val="none" w:color="000000" w:sz="4"/>
                    <w:left w:val="none" w:color="000000" w:sz="4"/>
                    <w:bottom w:val="single" w:color="000000" w:sz="4"/>
                    <w:right w:val="single" w:color="000000" w:sz="4"/>
                  </w:tcBorders>
                </w:tcPr>
                <w:p/>
              </w:tc>
              <w:tc>
                <w:tcPr>
                  <w:tcW w:type="dxa" w:w="17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2）监控设备24小时正常运行，监控室实行专人24小时值班制度。</w:t>
                  </w:r>
                </w:p>
              </w:tc>
            </w:tr>
            <w:tr>
              <w:tc>
                <w:tcPr>
                  <w:tcW w:type="dxa" w:w="219"/>
                  <w:vMerge/>
                  <w:tcBorders>
                    <w:top w:val="none" w:color="000000" w:sz="4"/>
                    <w:left w:val="single" w:color="000000" w:sz="4"/>
                    <w:bottom w:val="single" w:color="000000" w:sz="4"/>
                    <w:right w:val="single" w:color="000000" w:sz="4"/>
                  </w:tcBorders>
                </w:tcPr>
                <w:p/>
              </w:tc>
              <w:tc>
                <w:tcPr>
                  <w:tcW w:type="dxa" w:w="589"/>
                  <w:vMerge/>
                  <w:tcBorders>
                    <w:top w:val="none" w:color="000000" w:sz="4"/>
                    <w:left w:val="none" w:color="000000" w:sz="4"/>
                    <w:bottom w:val="single" w:color="000000" w:sz="4"/>
                    <w:right w:val="single" w:color="000000" w:sz="4"/>
                  </w:tcBorders>
                </w:tcPr>
                <w:p/>
              </w:tc>
              <w:tc>
                <w:tcPr>
                  <w:tcW w:type="dxa" w:w="17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3）监控记录画面清晰，视频监控无死角、无盲区。</w:t>
                  </w:r>
                </w:p>
              </w:tc>
            </w:tr>
            <w:tr>
              <w:tc>
                <w:tcPr>
                  <w:tcW w:type="dxa" w:w="219"/>
                  <w:vMerge/>
                  <w:tcBorders>
                    <w:top w:val="none" w:color="000000" w:sz="4"/>
                    <w:left w:val="single" w:color="000000" w:sz="4"/>
                    <w:bottom w:val="single" w:color="000000" w:sz="4"/>
                    <w:right w:val="single" w:color="000000" w:sz="4"/>
                  </w:tcBorders>
                </w:tcPr>
                <w:p/>
              </w:tc>
              <w:tc>
                <w:tcPr>
                  <w:tcW w:type="dxa" w:w="589"/>
                  <w:vMerge/>
                  <w:tcBorders>
                    <w:top w:val="none" w:color="000000" w:sz="4"/>
                    <w:left w:val="none" w:color="000000" w:sz="4"/>
                    <w:bottom w:val="single" w:color="000000" w:sz="4"/>
                    <w:right w:val="single" w:color="000000" w:sz="4"/>
                  </w:tcBorders>
                </w:tcPr>
                <w:p/>
              </w:tc>
              <w:tc>
                <w:tcPr>
                  <w:tcW w:type="dxa" w:w="17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4）值班期间遵守操作规程和保密制度，做好监控记录的保存工作。</w:t>
                  </w:r>
                </w:p>
              </w:tc>
            </w:tr>
            <w:tr>
              <w:tc>
                <w:tcPr>
                  <w:tcW w:type="dxa" w:w="219"/>
                  <w:vMerge/>
                  <w:tcBorders>
                    <w:top w:val="none" w:color="000000" w:sz="4"/>
                    <w:left w:val="single" w:color="000000" w:sz="4"/>
                    <w:bottom w:val="single" w:color="000000" w:sz="4"/>
                    <w:right w:val="single" w:color="000000" w:sz="4"/>
                  </w:tcBorders>
                </w:tcPr>
                <w:p/>
              </w:tc>
              <w:tc>
                <w:tcPr>
                  <w:tcW w:type="dxa" w:w="589"/>
                  <w:vMerge/>
                  <w:tcBorders>
                    <w:top w:val="none" w:color="000000" w:sz="4"/>
                    <w:left w:val="none" w:color="000000" w:sz="4"/>
                    <w:bottom w:val="single" w:color="000000" w:sz="4"/>
                    <w:right w:val="single" w:color="000000" w:sz="4"/>
                  </w:tcBorders>
                </w:tcPr>
                <w:p/>
              </w:tc>
              <w:tc>
                <w:tcPr>
                  <w:tcW w:type="dxa" w:w="17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5）监控记录保持完整，保存时间不应少于90天。</w:t>
                  </w:r>
                </w:p>
              </w:tc>
            </w:tr>
            <w:tr>
              <w:tc>
                <w:tcPr>
                  <w:tcW w:type="dxa" w:w="219"/>
                  <w:vMerge/>
                  <w:tcBorders>
                    <w:top w:val="none" w:color="000000" w:sz="4"/>
                    <w:left w:val="single" w:color="000000" w:sz="4"/>
                    <w:bottom w:val="single" w:color="000000" w:sz="4"/>
                    <w:right w:val="single" w:color="000000" w:sz="4"/>
                  </w:tcBorders>
                </w:tcPr>
                <w:p/>
              </w:tc>
              <w:tc>
                <w:tcPr>
                  <w:tcW w:type="dxa" w:w="589"/>
                  <w:vMerge/>
                  <w:tcBorders>
                    <w:top w:val="none" w:color="000000" w:sz="4"/>
                    <w:left w:val="none" w:color="000000" w:sz="4"/>
                    <w:bottom w:val="single" w:color="000000" w:sz="4"/>
                    <w:right w:val="single" w:color="000000" w:sz="4"/>
                  </w:tcBorders>
                </w:tcPr>
                <w:p/>
              </w:tc>
              <w:tc>
                <w:tcPr>
                  <w:tcW w:type="dxa" w:w="17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6）无关人员进入监控室或查阅监控记录，经授权人批准并做好相关记录。</w:t>
                  </w:r>
                </w:p>
              </w:tc>
            </w:tr>
            <w:tr>
              <w:tc>
                <w:tcPr>
                  <w:tcW w:type="dxa" w:w="219"/>
                  <w:vMerge/>
                  <w:tcBorders>
                    <w:top w:val="none" w:color="000000" w:sz="4"/>
                    <w:left w:val="single" w:color="000000" w:sz="4"/>
                    <w:bottom w:val="single" w:color="000000" w:sz="4"/>
                    <w:right w:val="single" w:color="000000" w:sz="4"/>
                  </w:tcBorders>
                </w:tcPr>
                <w:p/>
              </w:tc>
              <w:tc>
                <w:tcPr>
                  <w:tcW w:type="dxa" w:w="589"/>
                  <w:vMerge/>
                  <w:tcBorders>
                    <w:top w:val="none" w:color="000000" w:sz="4"/>
                    <w:left w:val="none" w:color="000000" w:sz="4"/>
                    <w:bottom w:val="single" w:color="000000" w:sz="4"/>
                    <w:right w:val="single" w:color="000000" w:sz="4"/>
                  </w:tcBorders>
                </w:tcPr>
                <w:p/>
              </w:tc>
              <w:tc>
                <w:tcPr>
                  <w:tcW w:type="dxa" w:w="17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7）监控室收到火情等报警信号、其他异常情况信号后，及时报警并安排其他安保人员前往现场进行处理。</w:t>
                  </w:r>
                </w:p>
              </w:tc>
            </w:tr>
            <w:tr>
              <w:tc>
                <w:tcPr>
                  <w:tcW w:type="dxa" w:w="21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58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车辆停放</w:t>
                  </w:r>
                </w:p>
              </w:tc>
              <w:tc>
                <w:tcPr>
                  <w:tcW w:type="dxa" w:w="17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1）车辆行驶路线设置合理、规范，导向标志完整、清晰。</w:t>
                  </w:r>
                </w:p>
              </w:tc>
            </w:tr>
            <w:tr>
              <w:tc>
                <w:tcPr>
                  <w:tcW w:type="dxa" w:w="219"/>
                  <w:vMerge/>
                  <w:tcBorders>
                    <w:top w:val="none" w:color="000000" w:sz="4"/>
                    <w:left w:val="single" w:color="000000" w:sz="4"/>
                    <w:bottom w:val="single" w:color="000000" w:sz="4"/>
                    <w:right w:val="single" w:color="000000" w:sz="4"/>
                  </w:tcBorders>
                </w:tcPr>
                <w:p/>
              </w:tc>
              <w:tc>
                <w:tcPr>
                  <w:tcW w:type="dxa" w:w="589"/>
                  <w:vMerge/>
                  <w:tcBorders>
                    <w:top w:val="none" w:color="000000" w:sz="4"/>
                    <w:left w:val="none" w:color="000000" w:sz="4"/>
                    <w:bottom w:val="single" w:color="000000" w:sz="4"/>
                    <w:right w:val="single" w:color="000000" w:sz="4"/>
                  </w:tcBorders>
                </w:tcPr>
                <w:p/>
              </w:tc>
              <w:tc>
                <w:tcPr>
                  <w:tcW w:type="dxa" w:w="17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2）合理规划车辆停放区域，张贴车辆引导标识，对车辆及停放区域实行规范管理。</w:t>
                  </w:r>
                </w:p>
              </w:tc>
            </w:tr>
            <w:tr>
              <w:tc>
                <w:tcPr>
                  <w:tcW w:type="dxa" w:w="219"/>
                  <w:vMerge/>
                  <w:tcBorders>
                    <w:top w:val="none" w:color="000000" w:sz="4"/>
                    <w:left w:val="single" w:color="000000" w:sz="4"/>
                    <w:bottom w:val="single" w:color="000000" w:sz="4"/>
                    <w:right w:val="single" w:color="000000" w:sz="4"/>
                  </w:tcBorders>
                </w:tcPr>
                <w:p/>
              </w:tc>
              <w:tc>
                <w:tcPr>
                  <w:tcW w:type="dxa" w:w="589"/>
                  <w:vMerge/>
                  <w:tcBorders>
                    <w:top w:val="none" w:color="000000" w:sz="4"/>
                    <w:left w:val="none" w:color="000000" w:sz="4"/>
                    <w:bottom w:val="single" w:color="000000" w:sz="4"/>
                    <w:right w:val="single" w:color="000000" w:sz="4"/>
                  </w:tcBorders>
                </w:tcPr>
                <w:p/>
              </w:tc>
              <w:tc>
                <w:tcPr>
                  <w:tcW w:type="dxa" w:w="17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3）严禁在办公楼的公用走道、楼梯间、安全出口处等公共区域停放车辆或充电。</w:t>
                  </w:r>
                </w:p>
              </w:tc>
            </w:tr>
            <w:tr>
              <w:tc>
                <w:tcPr>
                  <w:tcW w:type="dxa" w:w="219"/>
                  <w:vMerge/>
                  <w:tcBorders>
                    <w:top w:val="none" w:color="000000" w:sz="4"/>
                    <w:left w:val="single" w:color="000000" w:sz="4"/>
                    <w:bottom w:val="single" w:color="000000" w:sz="4"/>
                    <w:right w:val="single" w:color="000000" w:sz="4"/>
                  </w:tcBorders>
                </w:tcPr>
                <w:p/>
              </w:tc>
              <w:tc>
                <w:tcPr>
                  <w:tcW w:type="dxa" w:w="589"/>
                  <w:vMerge/>
                  <w:tcBorders>
                    <w:top w:val="none" w:color="000000" w:sz="4"/>
                    <w:left w:val="none" w:color="000000" w:sz="4"/>
                    <w:bottom w:val="single" w:color="000000" w:sz="4"/>
                    <w:right w:val="single" w:color="000000" w:sz="4"/>
                  </w:tcBorders>
                </w:tcPr>
                <w:p/>
              </w:tc>
              <w:tc>
                <w:tcPr>
                  <w:tcW w:type="dxa" w:w="17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4）非机动车定点有序停放。</w:t>
                  </w:r>
                </w:p>
              </w:tc>
            </w:tr>
            <w:tr>
              <w:tc>
                <w:tcPr>
                  <w:tcW w:type="dxa" w:w="219"/>
                  <w:vMerge/>
                  <w:tcBorders>
                    <w:top w:val="none" w:color="000000" w:sz="4"/>
                    <w:left w:val="single" w:color="000000" w:sz="4"/>
                    <w:bottom w:val="single" w:color="000000" w:sz="4"/>
                    <w:right w:val="single" w:color="000000" w:sz="4"/>
                  </w:tcBorders>
                </w:tcPr>
                <w:p/>
              </w:tc>
              <w:tc>
                <w:tcPr>
                  <w:tcW w:type="dxa" w:w="589"/>
                  <w:vMerge/>
                  <w:tcBorders>
                    <w:top w:val="none" w:color="000000" w:sz="4"/>
                    <w:left w:val="none" w:color="000000" w:sz="4"/>
                    <w:bottom w:val="single" w:color="000000" w:sz="4"/>
                    <w:right w:val="single" w:color="000000" w:sz="4"/>
                  </w:tcBorders>
                </w:tcPr>
                <w:p/>
              </w:tc>
              <w:tc>
                <w:tcPr>
                  <w:tcW w:type="dxa" w:w="17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5）发现车辆异常情况及时通知车主，并做好登记；发生交通事故、自然灾害等意外事故时及时赶赴现场疏导和协助处理，响应时间不超过3分钟。</w:t>
                  </w:r>
                </w:p>
              </w:tc>
            </w:tr>
            <w:tr>
              <w:tc>
                <w:tcPr>
                  <w:tcW w:type="dxa" w:w="21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58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消防安全管理</w:t>
                  </w:r>
                </w:p>
              </w:tc>
              <w:tc>
                <w:tcPr>
                  <w:tcW w:type="dxa" w:w="17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1）建立消防安全责任制，确定各级消防安全责任人及其职责。</w:t>
                  </w:r>
                </w:p>
              </w:tc>
            </w:tr>
            <w:tr>
              <w:tc>
                <w:tcPr>
                  <w:tcW w:type="dxa" w:w="219"/>
                  <w:vMerge/>
                  <w:tcBorders>
                    <w:top w:val="none" w:color="000000" w:sz="4"/>
                    <w:left w:val="single" w:color="000000" w:sz="4"/>
                    <w:bottom w:val="single" w:color="000000" w:sz="4"/>
                    <w:right w:val="single" w:color="000000" w:sz="4"/>
                  </w:tcBorders>
                </w:tcPr>
                <w:p/>
              </w:tc>
              <w:tc>
                <w:tcPr>
                  <w:tcW w:type="dxa" w:w="589"/>
                  <w:vMerge/>
                  <w:tcBorders>
                    <w:top w:val="none" w:color="000000" w:sz="4"/>
                    <w:left w:val="none" w:color="000000" w:sz="4"/>
                    <w:bottom w:val="single" w:color="000000" w:sz="4"/>
                    <w:right w:val="single" w:color="000000" w:sz="4"/>
                  </w:tcBorders>
                </w:tcPr>
                <w:p/>
              </w:tc>
              <w:tc>
                <w:tcPr>
                  <w:tcW w:type="dxa" w:w="17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2）消防控制室实行24小时值班制度，每班不少于2人。</w:t>
                  </w:r>
                </w:p>
              </w:tc>
            </w:tr>
            <w:tr>
              <w:tc>
                <w:tcPr>
                  <w:tcW w:type="dxa" w:w="219"/>
                  <w:vMerge/>
                  <w:tcBorders>
                    <w:top w:val="none" w:color="000000" w:sz="4"/>
                    <w:left w:val="single" w:color="000000" w:sz="4"/>
                    <w:bottom w:val="single" w:color="000000" w:sz="4"/>
                    <w:right w:val="single" w:color="000000" w:sz="4"/>
                  </w:tcBorders>
                </w:tcPr>
                <w:p/>
              </w:tc>
              <w:tc>
                <w:tcPr>
                  <w:tcW w:type="dxa" w:w="589"/>
                  <w:vMerge/>
                  <w:tcBorders>
                    <w:top w:val="none" w:color="000000" w:sz="4"/>
                    <w:left w:val="none" w:color="000000" w:sz="4"/>
                    <w:bottom w:val="single" w:color="000000" w:sz="4"/>
                    <w:right w:val="single" w:color="000000" w:sz="4"/>
                  </w:tcBorders>
                </w:tcPr>
                <w:p/>
              </w:tc>
              <w:tc>
                <w:tcPr>
                  <w:tcW w:type="dxa" w:w="17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3）消火栓、应急照明、应急物资、消防及人员逃生通道、消防车通道可随时正常使用。</w:t>
                  </w:r>
                </w:p>
              </w:tc>
            </w:tr>
            <w:tr>
              <w:tc>
                <w:tcPr>
                  <w:tcW w:type="dxa" w:w="219"/>
                  <w:vMerge/>
                  <w:tcBorders>
                    <w:top w:val="none" w:color="000000" w:sz="4"/>
                    <w:left w:val="single" w:color="000000" w:sz="4"/>
                    <w:bottom w:val="single" w:color="000000" w:sz="4"/>
                    <w:right w:val="single" w:color="000000" w:sz="4"/>
                  </w:tcBorders>
                </w:tcPr>
                <w:p/>
              </w:tc>
              <w:tc>
                <w:tcPr>
                  <w:tcW w:type="dxa" w:w="589"/>
                  <w:vMerge/>
                  <w:tcBorders>
                    <w:top w:val="none" w:color="000000" w:sz="4"/>
                    <w:left w:val="none" w:color="000000" w:sz="4"/>
                    <w:bottom w:val="single" w:color="000000" w:sz="4"/>
                    <w:right w:val="single" w:color="000000" w:sz="4"/>
                  </w:tcBorders>
                </w:tcPr>
                <w:p/>
              </w:tc>
              <w:tc>
                <w:tcPr>
                  <w:tcW w:type="dxa" w:w="17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4）易燃易爆品设专区专人管理，做好相关记录。</w:t>
                  </w:r>
                </w:p>
              </w:tc>
            </w:tr>
            <w:tr>
              <w:tc>
                <w:tcPr>
                  <w:tcW w:type="dxa" w:w="219"/>
                  <w:vMerge/>
                  <w:tcBorders>
                    <w:top w:val="none" w:color="000000" w:sz="4"/>
                    <w:left w:val="single" w:color="000000" w:sz="4"/>
                    <w:bottom w:val="single" w:color="000000" w:sz="4"/>
                    <w:right w:val="single" w:color="000000" w:sz="4"/>
                  </w:tcBorders>
                </w:tcPr>
                <w:p/>
              </w:tc>
              <w:tc>
                <w:tcPr>
                  <w:tcW w:type="dxa" w:w="589"/>
                  <w:vMerge/>
                  <w:tcBorders>
                    <w:top w:val="none" w:color="000000" w:sz="4"/>
                    <w:left w:val="none" w:color="000000" w:sz="4"/>
                    <w:bottom w:val="single" w:color="000000" w:sz="4"/>
                    <w:right w:val="single" w:color="000000" w:sz="4"/>
                  </w:tcBorders>
                </w:tcPr>
                <w:p/>
              </w:tc>
              <w:tc>
                <w:tcPr>
                  <w:tcW w:type="dxa" w:w="17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5）定期组织消防安全宣传，每半年至少开展1次消防演练。</w:t>
                  </w:r>
                </w:p>
              </w:tc>
            </w:tr>
            <w:tr>
              <w:tc>
                <w:tcPr>
                  <w:tcW w:type="dxa" w:w="21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58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突发事件处理</w:t>
                  </w:r>
                </w:p>
              </w:tc>
              <w:tc>
                <w:tcPr>
                  <w:tcW w:type="dxa" w:w="17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1）制定突发事件安全责任书，明确突发事件责任人及应承担的安全责任。</w:t>
                  </w:r>
                </w:p>
              </w:tc>
            </w:tr>
            <w:tr>
              <w:tc>
                <w:tcPr>
                  <w:tcW w:type="dxa" w:w="219"/>
                  <w:vMerge/>
                  <w:tcBorders>
                    <w:top w:val="none" w:color="000000" w:sz="4"/>
                    <w:left w:val="single" w:color="000000" w:sz="4"/>
                    <w:bottom w:val="single" w:color="000000" w:sz="4"/>
                    <w:right w:val="single" w:color="000000" w:sz="4"/>
                  </w:tcBorders>
                </w:tcPr>
                <w:p/>
              </w:tc>
              <w:tc>
                <w:tcPr>
                  <w:tcW w:type="dxa" w:w="589"/>
                  <w:vMerge/>
                  <w:tcBorders>
                    <w:top w:val="none" w:color="000000" w:sz="4"/>
                    <w:left w:val="none" w:color="000000" w:sz="4"/>
                    <w:bottom w:val="single" w:color="000000" w:sz="4"/>
                    <w:right w:val="single" w:color="000000" w:sz="4"/>
                  </w:tcBorders>
                </w:tcPr>
                <w:p/>
              </w:tc>
              <w:tc>
                <w:tcPr>
                  <w:tcW w:type="dxa" w:w="17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2）建立应急突发事件处置队伍，明确各自的职责。</w:t>
                  </w:r>
                </w:p>
              </w:tc>
            </w:tr>
            <w:tr>
              <w:tc>
                <w:tcPr>
                  <w:tcW w:type="dxa" w:w="219"/>
                  <w:vMerge/>
                  <w:tcBorders>
                    <w:top w:val="none" w:color="000000" w:sz="4"/>
                    <w:left w:val="single" w:color="000000" w:sz="4"/>
                    <w:bottom w:val="single" w:color="000000" w:sz="4"/>
                    <w:right w:val="single" w:color="000000" w:sz="4"/>
                  </w:tcBorders>
                </w:tcPr>
                <w:p/>
              </w:tc>
              <w:tc>
                <w:tcPr>
                  <w:tcW w:type="dxa" w:w="589"/>
                  <w:vMerge/>
                  <w:tcBorders>
                    <w:top w:val="none" w:color="000000" w:sz="4"/>
                    <w:left w:val="none" w:color="000000" w:sz="4"/>
                    <w:bottom w:val="single" w:color="000000" w:sz="4"/>
                    <w:right w:val="single" w:color="000000" w:sz="4"/>
                  </w:tcBorders>
                </w:tcPr>
                <w:p/>
              </w:tc>
              <w:tc>
                <w:tcPr>
                  <w:tcW w:type="dxa" w:w="17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3）识别、分析各种潜在风险，针对不同风险类型制定相应解决方案，并配备应急物资。</w:t>
                  </w:r>
                </w:p>
              </w:tc>
            </w:tr>
            <w:tr>
              <w:tc>
                <w:tcPr>
                  <w:tcW w:type="dxa" w:w="219"/>
                  <w:vMerge/>
                  <w:tcBorders>
                    <w:top w:val="none" w:color="000000" w:sz="4"/>
                    <w:left w:val="single" w:color="000000" w:sz="4"/>
                    <w:bottom w:val="single" w:color="000000" w:sz="4"/>
                    <w:right w:val="single" w:color="000000" w:sz="4"/>
                  </w:tcBorders>
                </w:tcPr>
                <w:p/>
              </w:tc>
              <w:tc>
                <w:tcPr>
                  <w:tcW w:type="dxa" w:w="589"/>
                  <w:vMerge/>
                  <w:tcBorders>
                    <w:top w:val="none" w:color="000000" w:sz="4"/>
                    <w:left w:val="none" w:color="000000" w:sz="4"/>
                    <w:bottom w:val="single" w:color="000000" w:sz="4"/>
                    <w:right w:val="single" w:color="000000" w:sz="4"/>
                  </w:tcBorders>
                </w:tcPr>
                <w:p/>
              </w:tc>
              <w:tc>
                <w:tcPr>
                  <w:tcW w:type="dxa" w:w="17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4）每半年至少开展1次突发事件应急演练，并有相应记录。</w:t>
                  </w:r>
                </w:p>
              </w:tc>
            </w:tr>
            <w:tr>
              <w:tc>
                <w:tcPr>
                  <w:tcW w:type="dxa" w:w="219"/>
                  <w:vMerge/>
                  <w:tcBorders>
                    <w:top w:val="none" w:color="000000" w:sz="4"/>
                    <w:left w:val="single" w:color="000000" w:sz="4"/>
                    <w:bottom w:val="single" w:color="000000" w:sz="4"/>
                    <w:right w:val="single" w:color="000000" w:sz="4"/>
                  </w:tcBorders>
                </w:tcPr>
                <w:p/>
              </w:tc>
              <w:tc>
                <w:tcPr>
                  <w:tcW w:type="dxa" w:w="589"/>
                  <w:vMerge/>
                  <w:tcBorders>
                    <w:top w:val="none" w:color="000000" w:sz="4"/>
                    <w:left w:val="none" w:color="000000" w:sz="4"/>
                    <w:bottom w:val="single" w:color="000000" w:sz="4"/>
                    <w:right w:val="single" w:color="000000" w:sz="4"/>
                  </w:tcBorders>
                </w:tcPr>
                <w:p/>
              </w:tc>
              <w:tc>
                <w:tcPr>
                  <w:tcW w:type="dxa" w:w="17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5）发生意外事件时，及时采取应急措施，维护办公区域物业服务正常进行，保护人身财产安全。</w:t>
                  </w:r>
                </w:p>
              </w:tc>
            </w:tr>
            <w:tr>
              <w:tc>
                <w:tcPr>
                  <w:tcW w:type="dxa" w:w="219"/>
                  <w:vMerge/>
                  <w:tcBorders>
                    <w:top w:val="none" w:color="000000" w:sz="4"/>
                    <w:left w:val="single" w:color="000000" w:sz="4"/>
                    <w:bottom w:val="single" w:color="000000" w:sz="4"/>
                    <w:right w:val="single" w:color="000000" w:sz="4"/>
                  </w:tcBorders>
                </w:tcPr>
                <w:p/>
              </w:tc>
              <w:tc>
                <w:tcPr>
                  <w:tcW w:type="dxa" w:w="589"/>
                  <w:vMerge/>
                  <w:tcBorders>
                    <w:top w:val="none" w:color="000000" w:sz="4"/>
                    <w:left w:val="none" w:color="000000" w:sz="4"/>
                    <w:bottom w:val="single" w:color="000000" w:sz="4"/>
                    <w:right w:val="single" w:color="000000" w:sz="4"/>
                  </w:tcBorders>
                </w:tcPr>
                <w:p/>
              </w:tc>
              <w:tc>
                <w:tcPr>
                  <w:tcW w:type="dxa" w:w="17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6）办公区域物业服务应急预案终止实施后，积极采取措施，在尽可能短的时间内，消除事故带来的不良影响，妥善安置和慰问受害及受影响的人员和部门。</w:t>
                  </w:r>
                </w:p>
              </w:tc>
            </w:tr>
            <w:tr>
              <w:tc>
                <w:tcPr>
                  <w:tcW w:type="dxa" w:w="219"/>
                  <w:vMerge/>
                  <w:tcBorders>
                    <w:top w:val="none" w:color="000000" w:sz="4"/>
                    <w:left w:val="single" w:color="000000" w:sz="4"/>
                    <w:bottom w:val="single" w:color="000000" w:sz="4"/>
                    <w:right w:val="single" w:color="000000" w:sz="4"/>
                  </w:tcBorders>
                </w:tcPr>
                <w:p/>
              </w:tc>
              <w:tc>
                <w:tcPr>
                  <w:tcW w:type="dxa" w:w="589"/>
                  <w:vMerge/>
                  <w:tcBorders>
                    <w:top w:val="none" w:color="000000" w:sz="4"/>
                    <w:left w:val="none" w:color="000000" w:sz="4"/>
                    <w:bottom w:val="single" w:color="000000" w:sz="4"/>
                    <w:right w:val="single" w:color="000000" w:sz="4"/>
                  </w:tcBorders>
                </w:tcPr>
                <w:p/>
              </w:tc>
              <w:tc>
                <w:tcPr>
                  <w:tcW w:type="dxa" w:w="17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7）事故处理后，及时形成事故应急总结报告，完善应急救援工作方案。</w:t>
                  </w:r>
                </w:p>
              </w:tc>
            </w:tr>
            <w:tr>
              <w:tc>
                <w:tcPr>
                  <w:tcW w:type="dxa" w:w="21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589"/>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大型活动秩序</w:t>
                  </w:r>
                </w:p>
              </w:tc>
              <w:tc>
                <w:tcPr>
                  <w:tcW w:type="dxa" w:w="17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1）制定相应的活动秩序维护方案，合理安排人员，并对场所的安全隐患进行排查。</w:t>
                  </w:r>
                </w:p>
              </w:tc>
            </w:tr>
            <w:tr>
              <w:tc>
                <w:tcPr>
                  <w:tcW w:type="dxa" w:w="219"/>
                  <w:vMerge/>
                  <w:tcBorders>
                    <w:top w:val="none" w:color="000000" w:sz="4"/>
                    <w:left w:val="single" w:color="000000" w:sz="4"/>
                    <w:bottom w:val="single" w:color="000000" w:sz="4"/>
                    <w:right w:val="single" w:color="000000" w:sz="4"/>
                  </w:tcBorders>
                </w:tcPr>
                <w:p/>
              </w:tc>
              <w:tc>
                <w:tcPr>
                  <w:tcW w:type="dxa" w:w="589"/>
                  <w:vMerge/>
                  <w:tcBorders>
                    <w:top w:val="none" w:color="000000" w:sz="4"/>
                    <w:left w:val="none" w:color="000000" w:sz="4"/>
                    <w:bottom w:val="single" w:color="000000" w:sz="4"/>
                    <w:right w:val="single" w:color="000000" w:sz="4"/>
                  </w:tcBorders>
                </w:tcPr>
                <w:p/>
              </w:tc>
              <w:tc>
                <w:tcPr>
                  <w:tcW w:type="dxa" w:w="17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2）应当保障通道、出入口、停车场等区域畅通。</w:t>
                  </w:r>
                </w:p>
              </w:tc>
            </w:tr>
            <w:tr>
              <w:tc>
                <w:tcPr>
                  <w:tcW w:type="dxa" w:w="219"/>
                  <w:vMerge/>
                  <w:tcBorders>
                    <w:top w:val="none" w:color="000000" w:sz="4"/>
                    <w:left w:val="single" w:color="000000" w:sz="4"/>
                    <w:bottom w:val="single" w:color="000000" w:sz="4"/>
                    <w:right w:val="single" w:color="000000" w:sz="4"/>
                  </w:tcBorders>
                </w:tcPr>
                <w:p/>
              </w:tc>
              <w:tc>
                <w:tcPr>
                  <w:tcW w:type="dxa" w:w="589"/>
                  <w:vMerge/>
                  <w:tcBorders>
                    <w:top w:val="none" w:color="000000" w:sz="4"/>
                    <w:left w:val="none" w:color="000000" w:sz="4"/>
                    <w:bottom w:val="single" w:color="000000" w:sz="4"/>
                    <w:right w:val="single" w:color="000000" w:sz="4"/>
                  </w:tcBorders>
                </w:tcPr>
                <w:p/>
              </w:tc>
              <w:tc>
                <w:tcPr>
                  <w:tcW w:type="dxa" w:w="174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3）活动举办过程中，做好现场秩序的维护和突发事故的处置工作，确保活动正常进行。</w:t>
                  </w:r>
                </w:p>
              </w:tc>
            </w:tr>
          </w:tbl>
          <w:p>
            <w:pPr>
              <w:pStyle w:val="null3"/>
              <w:jc w:val="both"/>
            </w:pPr>
            <w:r>
              <w:rPr>
                <w:rFonts w:ascii="仿宋_GB2312" w:hAnsi="仿宋_GB2312" w:cs="仿宋_GB2312" w:eastAsia="仿宋_GB2312"/>
                <w:sz w:val="24"/>
              </w:rPr>
              <w:t xml:space="preserve"> 4.物业管理服务人员需求</w:t>
            </w:r>
          </w:p>
          <w:tbl>
            <w:tblPr>
              <w:tblBorders>
                <w:top w:val="none" w:color="000000" w:sz="4"/>
                <w:left w:val="none" w:color="000000" w:sz="4"/>
                <w:bottom w:val="none" w:color="000000" w:sz="4"/>
                <w:right w:val="none" w:color="000000" w:sz="4"/>
                <w:insideH w:val="none"/>
                <w:insideV w:val="none"/>
              </w:tblBorders>
            </w:tblPr>
            <w:tblGrid>
              <w:gridCol w:w="269"/>
              <w:gridCol w:w="378"/>
              <w:gridCol w:w="403"/>
              <w:gridCol w:w="495"/>
              <w:gridCol w:w="1004"/>
            </w:tblGrid>
            <w:tr>
              <w:tc>
                <w:tcPr>
                  <w:tcW w:type="dxa" w:w="26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部门职能</w:t>
                  </w:r>
                </w:p>
              </w:tc>
              <w:tc>
                <w:tcPr>
                  <w:tcW w:type="dxa" w:w="37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岗位</w:t>
                  </w:r>
                </w:p>
              </w:tc>
              <w:tc>
                <w:tcPr>
                  <w:tcW w:type="dxa" w:w="40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同时在岗人数</w:t>
                  </w:r>
                </w:p>
              </w:tc>
              <w:tc>
                <w:tcPr>
                  <w:tcW w:type="dxa" w:w="49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岗位所需总人数</w:t>
                  </w:r>
                </w:p>
              </w:tc>
              <w:tc>
                <w:tcPr>
                  <w:tcW w:type="dxa" w:w="100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备注（岗位所需服务时长或时段、需具备的上岗资格证、人员学历、工作经验等要求）</w:t>
                  </w:r>
                </w:p>
              </w:tc>
            </w:tr>
            <w:tr>
              <w:tc>
                <w:tcPr>
                  <w:tcW w:type="dxa" w:w="2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服务中心</w:t>
                  </w:r>
                </w:p>
              </w:tc>
              <w:tc>
                <w:tcPr>
                  <w:tcW w:type="dxa" w:w="3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项目经理</w:t>
                  </w:r>
                </w:p>
              </w:tc>
              <w:tc>
                <w:tcPr>
                  <w:tcW w:type="dxa" w:w="4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4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与其他岗位人员可重复。</w:t>
                  </w:r>
                </w:p>
              </w:tc>
            </w:tr>
            <w:tr>
              <w:tc>
                <w:tcPr>
                  <w:tcW w:type="dxa" w:w="26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保洁服务</w:t>
                  </w:r>
                </w:p>
              </w:tc>
              <w:tc>
                <w:tcPr>
                  <w:tcW w:type="dxa" w:w="3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主管</w:t>
                  </w:r>
                </w:p>
              </w:tc>
              <w:tc>
                <w:tcPr>
                  <w:tcW w:type="dxa" w:w="4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 xml:space="preserve"> </w:t>
                  </w:r>
                </w:p>
              </w:tc>
              <w:tc>
                <w:tcPr>
                  <w:tcW w:type="dxa" w:w="4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 xml:space="preserve"> 与其他岗位人员可重复</w:t>
                  </w:r>
                </w:p>
              </w:tc>
            </w:tr>
            <w:tr>
              <w:tc>
                <w:tcPr>
                  <w:tcW w:type="dxa" w:w="269"/>
                  <w:vMerge/>
                  <w:tcBorders>
                    <w:top w:val="none" w:color="000000" w:sz="4"/>
                    <w:left w:val="single" w:color="000000" w:sz="4"/>
                    <w:bottom w:val="single" w:color="000000" w:sz="4"/>
                    <w:right w:val="single" w:color="000000" w:sz="4"/>
                  </w:tcBorders>
                </w:tcPr>
                <w:p/>
              </w:tc>
              <w:tc>
                <w:tcPr>
                  <w:tcW w:type="dxa" w:w="3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保洁员</w:t>
                  </w:r>
                </w:p>
              </w:tc>
              <w:tc>
                <w:tcPr>
                  <w:tcW w:type="dxa" w:w="4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 xml:space="preserve"> </w:t>
                  </w:r>
                </w:p>
              </w:tc>
              <w:tc>
                <w:tcPr>
                  <w:tcW w:type="dxa" w:w="4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0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其中每层需要保洁人员</w:t>
                  </w:r>
                  <w:r>
                    <w:rPr>
                      <w:rFonts w:ascii="仿宋_GB2312" w:hAnsi="仿宋_GB2312" w:cs="仿宋_GB2312" w:eastAsia="仿宋_GB2312"/>
                      <w:sz w:val="24"/>
                    </w:rPr>
                    <w:t>1</w:t>
                  </w:r>
                  <w:r>
                    <w:rPr>
                      <w:rFonts w:ascii="仿宋_GB2312" w:hAnsi="仿宋_GB2312" w:cs="仿宋_GB2312" w:eastAsia="仿宋_GB2312"/>
                      <w:sz w:val="24"/>
                    </w:rPr>
                    <w:t>名（包括厕所和公共区域），五层楼共需要</w:t>
                  </w:r>
                  <w:r>
                    <w:rPr>
                      <w:rFonts w:ascii="仿宋_GB2312" w:hAnsi="仿宋_GB2312" w:cs="仿宋_GB2312" w:eastAsia="仿宋_GB2312"/>
                      <w:sz w:val="24"/>
                    </w:rPr>
                    <w:t>5</w:t>
                  </w:r>
                  <w:r>
                    <w:rPr>
                      <w:rFonts w:ascii="仿宋_GB2312" w:hAnsi="仿宋_GB2312" w:cs="仿宋_GB2312" w:eastAsia="仿宋_GB2312"/>
                      <w:sz w:val="24"/>
                    </w:rPr>
                    <w:t>人；广场、室外走廊、通道</w:t>
                  </w:r>
                  <w:r>
                    <w:rPr>
                      <w:rFonts w:ascii="仿宋_GB2312" w:hAnsi="仿宋_GB2312" w:cs="仿宋_GB2312" w:eastAsia="仿宋_GB2312"/>
                      <w:sz w:val="24"/>
                    </w:rPr>
                    <w:t>1</w:t>
                  </w:r>
                  <w:r>
                    <w:rPr>
                      <w:rFonts w:ascii="仿宋_GB2312" w:hAnsi="仿宋_GB2312" w:cs="仿宋_GB2312" w:eastAsia="仿宋_GB2312"/>
                      <w:sz w:val="24"/>
                    </w:rPr>
                    <w:t>人</w:t>
                  </w:r>
                  <w:r>
                    <w:rPr>
                      <w:rFonts w:ascii="仿宋_GB2312" w:hAnsi="仿宋_GB2312" w:cs="仿宋_GB2312" w:eastAsia="仿宋_GB2312"/>
                      <w:sz w:val="24"/>
                    </w:rPr>
                    <w:t>。</w:t>
                  </w:r>
                </w:p>
              </w:tc>
            </w:tr>
            <w:tr>
              <w:tc>
                <w:tcPr>
                  <w:tcW w:type="dxa" w:w="269"/>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保安服务</w:t>
                  </w:r>
                </w:p>
              </w:tc>
              <w:tc>
                <w:tcPr>
                  <w:tcW w:type="dxa" w:w="3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领班</w:t>
                  </w:r>
                </w:p>
              </w:tc>
              <w:tc>
                <w:tcPr>
                  <w:tcW w:type="dxa" w:w="4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 xml:space="preserve"> </w:t>
                  </w:r>
                </w:p>
              </w:tc>
              <w:tc>
                <w:tcPr>
                  <w:tcW w:type="dxa" w:w="4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与其他岗位人员可重复</w:t>
                  </w:r>
                </w:p>
              </w:tc>
            </w:tr>
            <w:tr>
              <w:tc>
                <w:tcPr>
                  <w:tcW w:type="dxa" w:w="269"/>
                  <w:vMerge/>
                  <w:tcBorders>
                    <w:top w:val="none" w:color="000000" w:sz="4"/>
                    <w:left w:val="single" w:color="000000" w:sz="4"/>
                    <w:bottom w:val="single" w:color="000000" w:sz="4"/>
                    <w:right w:val="single" w:color="000000" w:sz="4"/>
                  </w:tcBorders>
                </w:tcPr>
                <w:p/>
              </w:tc>
              <w:tc>
                <w:tcPr>
                  <w:tcW w:type="dxa" w:w="3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门岗</w:t>
                  </w:r>
                </w:p>
              </w:tc>
              <w:tc>
                <w:tcPr>
                  <w:tcW w:type="dxa" w:w="4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 xml:space="preserve"> </w:t>
                  </w:r>
                </w:p>
              </w:tc>
              <w:tc>
                <w:tcPr>
                  <w:tcW w:type="dxa" w:w="4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0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白天夜晚轮换</w:t>
                  </w:r>
                </w:p>
              </w:tc>
            </w:tr>
            <w:tr>
              <w:tc>
                <w:tcPr>
                  <w:tcW w:type="dxa" w:w="269"/>
                  <w:vMerge/>
                  <w:tcBorders>
                    <w:top w:val="none" w:color="000000" w:sz="4"/>
                    <w:left w:val="single" w:color="000000" w:sz="4"/>
                    <w:bottom w:val="single" w:color="000000" w:sz="4"/>
                    <w:right w:val="single" w:color="000000" w:sz="4"/>
                  </w:tcBorders>
                </w:tcPr>
                <w:p/>
              </w:tc>
              <w:tc>
                <w:tcPr>
                  <w:tcW w:type="dxa" w:w="3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监控岗</w:t>
                  </w:r>
                </w:p>
              </w:tc>
              <w:tc>
                <w:tcPr>
                  <w:tcW w:type="dxa" w:w="4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 xml:space="preserve"> </w:t>
                  </w:r>
                </w:p>
              </w:tc>
              <w:tc>
                <w:tcPr>
                  <w:tcW w:type="dxa" w:w="4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0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监控室白天夜晚轮换需要</w:t>
                  </w:r>
                  <w:r>
                    <w:rPr>
                      <w:rFonts w:ascii="仿宋_GB2312" w:hAnsi="仿宋_GB2312" w:cs="仿宋_GB2312" w:eastAsia="仿宋_GB2312"/>
                      <w:sz w:val="24"/>
                    </w:rPr>
                    <w:t>3</w:t>
                  </w:r>
                  <w:r>
                    <w:rPr>
                      <w:rFonts w:ascii="仿宋_GB2312" w:hAnsi="仿宋_GB2312" w:cs="仿宋_GB2312" w:eastAsia="仿宋_GB2312"/>
                      <w:sz w:val="24"/>
                    </w:rPr>
                    <w:t>人</w:t>
                  </w:r>
                </w:p>
              </w:tc>
            </w:tr>
            <w:tr>
              <w:tc>
                <w:tcPr>
                  <w:tcW w:type="dxa" w:w="269"/>
                  <w:vMerge/>
                  <w:tcBorders>
                    <w:top w:val="none" w:color="000000" w:sz="4"/>
                    <w:left w:val="single" w:color="000000" w:sz="4"/>
                    <w:bottom w:val="single" w:color="000000" w:sz="4"/>
                    <w:right w:val="single" w:color="000000" w:sz="4"/>
                  </w:tcBorders>
                </w:tcPr>
                <w:p/>
              </w:tc>
              <w:tc>
                <w:tcPr>
                  <w:tcW w:type="dxa" w:w="3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巡逻岗</w:t>
                  </w:r>
                </w:p>
              </w:tc>
              <w:tc>
                <w:tcPr>
                  <w:tcW w:type="dxa" w:w="4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 xml:space="preserve"> </w:t>
                  </w:r>
                </w:p>
              </w:tc>
              <w:tc>
                <w:tcPr>
                  <w:tcW w:type="dxa" w:w="4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0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白天巡逻需要</w:t>
                  </w:r>
                  <w:r>
                    <w:rPr>
                      <w:rFonts w:ascii="仿宋_GB2312" w:hAnsi="仿宋_GB2312" w:cs="仿宋_GB2312" w:eastAsia="仿宋_GB2312"/>
                      <w:sz w:val="24"/>
                    </w:rPr>
                    <w:t>1</w:t>
                  </w:r>
                  <w:r>
                    <w:rPr>
                      <w:rFonts w:ascii="仿宋_GB2312" w:hAnsi="仿宋_GB2312" w:cs="仿宋_GB2312" w:eastAsia="仿宋_GB2312"/>
                      <w:sz w:val="24"/>
                    </w:rPr>
                    <w:t>人</w:t>
                  </w:r>
                </w:p>
              </w:tc>
            </w:tr>
            <w:tr>
              <w:tc>
                <w:tcPr>
                  <w:tcW w:type="dxa" w:w="2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绿化服务</w:t>
                  </w:r>
                </w:p>
              </w:tc>
              <w:tc>
                <w:tcPr>
                  <w:tcW w:type="dxa" w:w="3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绿化岗</w:t>
                  </w:r>
                </w:p>
              </w:tc>
              <w:tc>
                <w:tcPr>
                  <w:tcW w:type="dxa" w:w="4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4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包含花卉租摆</w:t>
                  </w:r>
                </w:p>
              </w:tc>
            </w:tr>
            <w:tr>
              <w:tc>
                <w:tcPr>
                  <w:tcW w:type="dxa" w:w="2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餐饮服务</w:t>
                  </w:r>
                </w:p>
              </w:tc>
              <w:tc>
                <w:tcPr>
                  <w:tcW w:type="dxa" w:w="3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餐饮岗</w:t>
                  </w:r>
                </w:p>
              </w:tc>
              <w:tc>
                <w:tcPr>
                  <w:tcW w:type="dxa" w:w="4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4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主厨、帮厨各一人</w:t>
                  </w:r>
                </w:p>
              </w:tc>
            </w:tr>
            <w:tr>
              <w:tc>
                <w:tcPr>
                  <w:tcW w:type="dxa" w:w="26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设施设备维护服务</w:t>
                  </w:r>
                </w:p>
              </w:tc>
              <w:tc>
                <w:tcPr>
                  <w:tcW w:type="dxa" w:w="37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水电木岗</w:t>
                  </w:r>
                </w:p>
              </w:tc>
              <w:tc>
                <w:tcPr>
                  <w:tcW w:type="dxa" w:w="4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c>
                <w:tcPr>
                  <w:tcW w:type="dxa" w:w="4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0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bl>
          <w:p>
            <w:pPr>
              <w:pStyle w:val="null3"/>
              <w:jc w:val="both"/>
            </w:pPr>
            <w:r>
              <w:rPr>
                <w:rFonts w:ascii="仿宋_GB2312" w:hAnsi="仿宋_GB2312" w:cs="仿宋_GB2312" w:eastAsia="仿宋_GB2312"/>
                <w:sz w:val="24"/>
              </w:rPr>
              <w:t>注：供应商应当按国家相关法律法规，合理确定服务人员工资标准、工作时间等。</w:t>
            </w:r>
          </w:p>
          <w:p>
            <w:pPr>
              <w:pStyle w:val="null3"/>
              <w:jc w:val="both"/>
            </w:pPr>
            <w:r>
              <w:rPr>
                <w:rFonts w:ascii="仿宋_GB2312" w:hAnsi="仿宋_GB2312" w:cs="仿宋_GB2312" w:eastAsia="仿宋_GB2312"/>
                <w:sz w:val="24"/>
              </w:rPr>
              <w:t xml:space="preserve">    供应商应当自行为服务人员办理必需的保险，有关人员伤亡及第三者责任险均应当考虑在报价因素中。</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5</w:t>
            </w:r>
            <w:r>
              <w:rPr>
                <w:rFonts w:ascii="仿宋_GB2312" w:hAnsi="仿宋_GB2312" w:cs="仿宋_GB2312" w:eastAsia="仿宋_GB2312"/>
                <w:sz w:val="24"/>
              </w:rPr>
              <w:t>.商务要求</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5</w:t>
            </w:r>
            <w:r>
              <w:rPr>
                <w:rFonts w:ascii="仿宋_GB2312" w:hAnsi="仿宋_GB2312" w:cs="仿宋_GB2312" w:eastAsia="仿宋_GB2312"/>
                <w:sz w:val="24"/>
              </w:rPr>
              <w:t>.1实施期限</w:t>
            </w:r>
          </w:p>
          <w:p>
            <w:pPr>
              <w:pStyle w:val="null3"/>
              <w:ind w:firstLine="480"/>
              <w:jc w:val="both"/>
            </w:pPr>
            <w:r>
              <w:rPr>
                <w:rFonts w:ascii="仿宋_GB2312" w:hAnsi="仿宋_GB2312" w:cs="仿宋_GB2312" w:eastAsia="仿宋_GB2312"/>
                <w:sz w:val="24"/>
              </w:rPr>
              <w:t>三年（合同一年一签，上一年度服务期满，经考核合格后可续签下一年合同，第三年依次类推）。</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5</w:t>
            </w:r>
            <w:r>
              <w:rPr>
                <w:rFonts w:ascii="仿宋_GB2312" w:hAnsi="仿宋_GB2312" w:cs="仿宋_GB2312" w:eastAsia="仿宋_GB2312"/>
                <w:sz w:val="24"/>
              </w:rPr>
              <w:t>.2付款方式</w:t>
            </w:r>
          </w:p>
          <w:p>
            <w:pPr>
              <w:pStyle w:val="null3"/>
              <w:ind w:firstLine="480"/>
              <w:jc w:val="both"/>
            </w:pPr>
            <w:r>
              <w:rPr>
                <w:rFonts w:ascii="仿宋_GB2312" w:hAnsi="仿宋_GB2312" w:cs="仿宋_GB2312" w:eastAsia="仿宋_GB2312"/>
                <w:sz w:val="24"/>
              </w:rPr>
              <w:t>按季度结算。下一季度第一个月</w:t>
            </w:r>
            <w:r>
              <w:rPr>
                <w:rFonts w:ascii="仿宋_GB2312" w:hAnsi="仿宋_GB2312" w:cs="仿宋_GB2312" w:eastAsia="仿宋_GB2312"/>
                <w:sz w:val="24"/>
              </w:rPr>
              <w:t>20日前，成交供应商提供正规发票，结算上一季度费用。</w:t>
            </w:r>
          </w:p>
          <w:p>
            <w:pPr>
              <w:pStyle w:val="null3"/>
              <w:spacing w:before="120"/>
              <w:jc w:val="both"/>
            </w:pPr>
            <w:r>
              <w:rPr>
                <w:rFonts w:ascii="仿宋_GB2312" w:hAnsi="仿宋_GB2312" w:cs="仿宋_GB2312" w:eastAsia="仿宋_GB2312"/>
                <w:sz w:val="24"/>
              </w:rPr>
              <w:t>5.3结算</w:t>
            </w:r>
          </w:p>
          <w:p>
            <w:pPr>
              <w:pStyle w:val="null3"/>
              <w:ind w:firstLine="480"/>
              <w:jc w:val="both"/>
            </w:pPr>
            <w:r>
              <w:rPr>
                <w:rFonts w:ascii="仿宋_GB2312" w:hAnsi="仿宋_GB2312" w:cs="仿宋_GB2312" w:eastAsia="仿宋_GB2312"/>
                <w:sz w:val="24"/>
              </w:rPr>
              <w:t>日常维护费用服务期内按实际发生工作量据实结算，其他费用总价包干。</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5</w:t>
            </w:r>
            <w:r>
              <w:rPr>
                <w:rFonts w:ascii="仿宋_GB2312" w:hAnsi="仿宋_GB2312" w:cs="仿宋_GB2312" w:eastAsia="仿宋_GB2312"/>
                <w:sz w:val="24"/>
              </w:rPr>
              <w:t>.3验收标准与要求</w:t>
            </w:r>
          </w:p>
          <w:p>
            <w:pPr>
              <w:pStyle w:val="null3"/>
              <w:jc w:val="both"/>
            </w:pPr>
            <w:r>
              <w:rPr>
                <w:rFonts w:ascii="仿宋_GB2312" w:hAnsi="仿宋_GB2312" w:cs="仿宋_GB2312" w:eastAsia="仿宋_GB2312"/>
                <w:sz w:val="24"/>
              </w:rPr>
              <w:t>达到国家相关规范、标准及采购人考核要求。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三年（合同一年一签，上一年度服务期满，经考核合格后可续签下一年合同，第三年依次类推）。</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西安市长安区档案馆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满足现行业技术规范要求及采购人需求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1、各供应商应根据“陕西省财政厅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 2、质量要求：达到国家相关规范、标准及采购人考核要求。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根据投标供应商类别进行提供：①如供应商是企业（包括合伙企业），应提供在工商部门注册的有效“企业法人营业执照”或“营业执照”；②如供应商是事业单位，应提供有效的“事业单位法人证书”；③如供应商是为企业专业服务机构的，应提供执业许可证等证明文件；④如供应商是个体工商户，应提供有效的“个体工商户营业执照”；⑤如供应商为自然人，应提供有效的自然人身份证明。 （2） 提供2024年度经审计的财务报告（成立时间至提交磋商响应文件截止时间不足一年的可提供成立后任意时段的资产负债表），或磋商响应截止时间前六个月内银行出具的资信证明； （3）提供磋商响应文件递交截止日前一年内已缴存的至少一个月的社会保障资金缴存单据或社保机构开具的社会保险参保缴费情况证明，依法不需要缴纳社会保障资金的单位应提供相关证明材料； （4）提供磋商响应文件递交截止日前一年内已缴纳的至少一个月的纳税证明或完税证明，依法免税的单位应提供相关证明材料； （5）参加本次政府采购活动前三年内，在经营活动中没有重大违法记录的书面声明； （6）供应商具有履行本合同所必需的专业技术能力的说明及承诺。</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提供2024年度经审计的财务报告（成立时间至提交磋商响应文件截止时间不足一年的可提供成立后任意时段的资产负债表），或磋商响应截止时间前六个月内银行出具的资信证明。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法定代表人授权书（法定代表人直接参加磋商，须提供法定代表人身份证明）；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采购代理机构将在开标当日打印查询记录作为证据留存，对列入失信被执行人、重大税收违法案件当事人名单、政府采购严重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本项目专门面向中小企业采购，仅限符合《政府采购促进中小企业发展管理办法》的通知(财库〔2020〕46 号) 条件的中小企业参与，并提供中小企业声明函，残疾人福利企业、监狱企业视同中小企业。</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服务条款响应表.docx 技术方案.docx 中小企业声明函 报价表 资格证明文件.docx 响应文件封面 分项报价表.docx 残疾人福利性单位声明函 标的清单 响应函 陕西省政府采购供应商拒绝政府采购领域商业贿赂承诺书.docx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服务条款响应表.docx 技术方案.docx 分项报价表.docx 标的清单 报价表 响应函 陕西省政府采购供应商拒绝政府采购领域商业贿赂承诺书.docx 商务条款偏离表.docx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质量要求</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服务条款响应表.docx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结算</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一、评审内容 针对本项目提出的整体服务方案，方案内容包含 ①工作组织方案②各项管理制度及档案的建立与管理③项目管理服务目标④作业安全措施⑤文明作业措施等服务理念及特色。 二、评审标准 1、完整性：方案须全面，对评审内容中的各项要求有详细描述及说明； 2、可实施性：切合本项目实际情况，实施步骤清晰、合理 3、针对性：方案能够紧扣项目实际情况，内容科学合理。 三、赋分标准 ①-⑤项方案：每项方案每完全满足一项评审标准得1分；每项方案每有一处缺陷扣0.1分，其他或未提供得0分。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一、评审内容 针对本项目提出的质量保障措施，方案内容包含①物业管理人员、安保人员与采购人工作配合的保障措施②保证工作时间内正常运行的保障措施③出现故障时维修人员的响应保障措施④清洁及保洁的保障措施⑤应急预案措施等。 二、评审标准 1、完整性：方案须全面，对评审内容中的各项要求有详细描述及说明； 2、可实施性：切合本项目实际情况，实施步骤清晰、合理； 3、针对性：方案能够紧扣项目实际情况，内容科学合理。 三、赋分标准 ①-⑤项方案：每项方案每完全满足一项评审标准得1分；每项方案每有一处缺陷扣0.1分，其他或未提供得0分。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设备器械、工具及消耗品配备</w:t>
            </w:r>
          </w:p>
        </w:tc>
        <w:tc>
          <w:tcPr>
            <w:tcW w:type="dxa" w:w="2492"/>
          </w:tcPr>
          <w:p>
            <w:pPr>
              <w:pStyle w:val="null3"/>
            </w:pPr>
            <w:r>
              <w:rPr>
                <w:rFonts w:ascii="仿宋_GB2312" w:hAnsi="仿宋_GB2312" w:cs="仿宋_GB2312" w:eastAsia="仿宋_GB2312"/>
              </w:rPr>
              <w:t>一、评审内容 针对本项目提出的设备器械、工具及消耗品配备方案，方案内容包含 ①设施、设备管理、维护措施②设备器械、工具及消耗品配备方案。 二、评审标准 1、完整性：方案须全面，对评审内容中的各项要求有详细描述及说明； 2、可实施性：切合本项目实际情况，实施步骤清晰、合理 3、针对性：方案能够紧扣项目实际情况，内容科学合理。 三、赋分标准 ①-②项方案：每项方案每完全满足一项评审标准得1分；每项方案每有一处缺陷扣0.1分，其他或未提供得0分。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垃圾分类方案</w:t>
            </w:r>
          </w:p>
        </w:tc>
        <w:tc>
          <w:tcPr>
            <w:tcW w:type="dxa" w:w="2492"/>
          </w:tcPr>
          <w:p>
            <w:pPr>
              <w:pStyle w:val="null3"/>
            </w:pPr>
            <w:r>
              <w:rPr>
                <w:rFonts w:ascii="仿宋_GB2312" w:hAnsi="仿宋_GB2312" w:cs="仿宋_GB2312" w:eastAsia="仿宋_GB2312"/>
              </w:rPr>
              <w:t>一、评审内容 针对本项目提出的垃圾分类方案。 二、评审标准 1、完整性：方案须全面，对评审内容中的各项要求有详细描述及说明； 2、可实施性：切合本项目实际情况，提供合理的垃圾分类方案； 3、针对性：方案能够紧扣项目实际情况，垃圾分类符合现行区域标准。 三、赋分标准 每完全满足一项评审标准得1分；方案每有一处缺陷扣0.1分，其他或未提供得0分。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能源节约方案</w:t>
            </w:r>
          </w:p>
        </w:tc>
        <w:tc>
          <w:tcPr>
            <w:tcW w:type="dxa" w:w="2492"/>
          </w:tcPr>
          <w:p>
            <w:pPr>
              <w:pStyle w:val="null3"/>
            </w:pPr>
            <w:r>
              <w:rPr>
                <w:rFonts w:ascii="仿宋_GB2312" w:hAnsi="仿宋_GB2312" w:cs="仿宋_GB2312" w:eastAsia="仿宋_GB2312"/>
              </w:rPr>
              <w:t>一、评审内容 针对本项目提出能源节约方案，方案内容包含 ①能源节约原则②能源节约的具体措施。 二、评审标准 1、完整性：方案须全面，对评审内容中的各项要求有详细描述及说明； 2、可实施性：切合本项目实际情况，实施步骤清晰、合理； 3、针对性：方案能够紧扣项目实际情况，内容科学合理。 三、赋分标准 ①-②项方案：每项方案每完全满足一项评审标准得1分；每项方案每有一处缺陷扣0.1分，其他或未提供得0分。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针对本项目特点提供应急预案，预案内容包含①恶劣天气、停水停电、电梯困人、火灾、水浸、防火②重大活动、紧急事件及临时性任务。 二、评审标准 1、完整性：方案须全面，对评审内容中的各项要求有详细描述及说明： 2、可实施性：切合本项目实际情况，步骤清晰、合理，操作性强 ； 3、针对性：方案能够紧扣项目实际情况，内容科学合理。 三、赋分标准 ①-②项方案：每项方案每完全满足一项评审标准得1分；每项方案每有一处缺陷扣0.1分，其他或未提供得0分。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培训考核方案</w:t>
            </w:r>
          </w:p>
        </w:tc>
        <w:tc>
          <w:tcPr>
            <w:tcW w:type="dxa" w:w="2492"/>
          </w:tcPr>
          <w:p>
            <w:pPr>
              <w:pStyle w:val="null3"/>
            </w:pPr>
            <w:r>
              <w:rPr>
                <w:rFonts w:ascii="仿宋_GB2312" w:hAnsi="仿宋_GB2312" w:cs="仿宋_GB2312" w:eastAsia="仿宋_GB2312"/>
              </w:rPr>
              <w:t>一、评审内容 针对本项目制定培训考核方案，方案内容包含 ①培训：针对不同的岗位职责、行为规范、服务礼仪等方面制定培训方案 ②考核：针对不同的岗位、制度及工作程序制定考核方案。 二、评审标准 1、完整性：方案须全面，对评审内容中的各项要求有详细描述及说明； 2、可实施性：切合本项目实际情况，实施步骤清晰、合理： 3、针对性：方案能够紧扣项目实际情况，内容科学合理。 三、赋分标准 ①-②项方案：每项方案每完全满足一项评审标准得1分；每项方案每有一处缺陷扣0.1分，其他或未提供得0分。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1.承诺：接受采购人对服务的考核、监督及管理，并对服务质量加以改进，确保服务工作的优质高效，得1分。无承诺不得分。 2.承诺：若人员因事、病不能及时上岗时，请调其他服务人 员补充，确保各项服务工作正常进行，得1分。无承诺不得分。 3.承诺：供应商具有足够的可调度人员储备，以应对重大活动、突发事件等工作任务，得1分。无承诺不得分。 4.承诺：供应商应当对涉及采购人的信息严格保密，未经采 购人许可，不得将信息泄露给第三方。否则，采购人保留追 究法律责任的权利，得1分。无承诺不得分。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项目经理具有大专学历得1分，具有本科及以上学历得2分(取最高学历计分，不重复计分)。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投标供应商针对本项目提供人员保障方案。方案包含 ①管理机构②岗位职责制度③专业技术人员投入。 二、评审标准 1、完整性 2、可实施性 3、针对性 三、赋分依据（满分9分） ①-③：每项内容每完全满足一个评审标准得1分，每项内容每有一处缺陷扣0.1分，其他得0分。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投标供应商内部相关管理体系健全、完备，提供证明材料。 管理体系健全、完备，证明材料齐全得5分； 管理体系健全、完备，证明材料较齐全得3分； 管理体系不健全，缺乏证明材料得0分。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投标供应商提供2022年11月1日至今（以合同签订日期为准）类似项目业绩。1个有效业绩得2分，满分10分。(以合同签订日期为准发出时间为准，合同复印件加盖公章附在响应文件中，否则不作为评审依据）</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满足磋商文件商务及技术要求且最后报价最低的供应商的价格为磋商基准价，其价格分为满分。 报价得分=（磋商基准价/最后磋商报价）*价格分值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详见附件：服务条款响应表.docx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